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FDEC74" w14:textId="77777777" w:rsidR="00D36325" w:rsidRDefault="00D36325" w:rsidP="00D36325">
      <w:pPr>
        <w:spacing w:line="276" w:lineRule="auto"/>
        <w:rPr>
          <w:rFonts w:asciiTheme="minorHAnsi" w:hAnsiTheme="minorHAnsi" w:cstheme="minorHAnsi"/>
          <w:sz w:val="24"/>
          <w:szCs w:val="24"/>
        </w:rPr>
      </w:pPr>
    </w:p>
    <w:p w14:paraId="7A20A803" w14:textId="77777777" w:rsidR="00503834" w:rsidRPr="004A1C48" w:rsidRDefault="00503834" w:rsidP="00503834">
      <w:pPr>
        <w:spacing w:line="360" w:lineRule="auto"/>
        <w:jc w:val="both"/>
        <w:rPr>
          <w:rFonts w:ascii="Calibri" w:hAnsi="Calibri" w:cs="Calibri"/>
          <w:sz w:val="24"/>
          <w:szCs w:val="24"/>
        </w:rPr>
      </w:pPr>
      <w:r w:rsidRPr="004A1C48">
        <w:rPr>
          <w:rFonts w:ascii="Calibri" w:hAnsi="Calibri" w:cs="Calibri"/>
          <w:sz w:val="24"/>
          <w:szCs w:val="24"/>
        </w:rPr>
        <w:t>Prezado (a) Presidente,</w:t>
      </w:r>
    </w:p>
    <w:p w14:paraId="72A95BC6" w14:textId="77777777" w:rsidR="00E14A9F" w:rsidRDefault="00E14A9F" w:rsidP="00681D97">
      <w:pPr>
        <w:spacing w:line="360" w:lineRule="auto"/>
        <w:jc w:val="both"/>
        <w:rPr>
          <w:rFonts w:ascii="Calibri" w:hAnsi="Calibri" w:cs="Calibri"/>
          <w:sz w:val="24"/>
          <w:szCs w:val="24"/>
        </w:rPr>
      </w:pPr>
    </w:p>
    <w:p w14:paraId="79253AF6" w14:textId="66A2126A" w:rsidR="00681D97" w:rsidRPr="00DF0C74" w:rsidRDefault="00681D97" w:rsidP="00681D97">
      <w:pPr>
        <w:spacing w:line="360" w:lineRule="auto"/>
        <w:jc w:val="both"/>
        <w:rPr>
          <w:rFonts w:ascii="Calibri" w:hAnsi="Calibri" w:cs="Calibri"/>
          <w:sz w:val="24"/>
          <w:szCs w:val="24"/>
        </w:rPr>
      </w:pPr>
      <w:r w:rsidRPr="00DF0C74">
        <w:rPr>
          <w:rFonts w:ascii="Calibri" w:hAnsi="Calibri" w:cs="Calibri"/>
          <w:sz w:val="24"/>
          <w:szCs w:val="24"/>
        </w:rPr>
        <w:t>O Diário Oficial da União divulgou no dia 30 de setembro de 2025, a Lei nº 15.222 de 29.09.2025. Essa lei promove alterações importantes na Consolidação das Leis do Trabalho (CLT), especialmente no que diz respeito à licença-maternidade, bem como altera a Lei de Planos e Benefícios da Previdência Social (Lei nº 8.213/1991).</w:t>
      </w:r>
    </w:p>
    <w:p w14:paraId="431A85C9" w14:textId="77777777" w:rsidR="00681D97" w:rsidRPr="00E14A9F" w:rsidRDefault="00681D97" w:rsidP="00681D97">
      <w:pPr>
        <w:pStyle w:val="Ttulo2"/>
        <w:spacing w:line="360" w:lineRule="auto"/>
        <w:jc w:val="both"/>
        <w:rPr>
          <w:rFonts w:ascii="Calibri" w:hAnsi="Calibri" w:cs="Calibri"/>
          <w:sz w:val="24"/>
          <w:szCs w:val="24"/>
        </w:rPr>
      </w:pPr>
      <w:r w:rsidRPr="00E14A9F">
        <w:rPr>
          <w:rFonts w:ascii="Calibri" w:hAnsi="Calibri" w:cs="Calibri"/>
          <w:sz w:val="24"/>
          <w:szCs w:val="24"/>
        </w:rPr>
        <w:t>Prorrogação da Licença-Maternidade</w:t>
      </w:r>
    </w:p>
    <w:p w14:paraId="6B8B5060" w14:textId="77777777" w:rsidR="00681D97" w:rsidRDefault="00681D97" w:rsidP="00681D97">
      <w:pPr>
        <w:spacing w:line="360" w:lineRule="auto"/>
        <w:jc w:val="both"/>
        <w:rPr>
          <w:rFonts w:ascii="Calibri" w:hAnsi="Calibri" w:cs="Calibri"/>
          <w:sz w:val="24"/>
          <w:szCs w:val="24"/>
        </w:rPr>
      </w:pPr>
      <w:r w:rsidRPr="00DF0C74">
        <w:rPr>
          <w:rFonts w:ascii="Calibri" w:hAnsi="Calibri" w:cs="Calibri"/>
          <w:sz w:val="24"/>
          <w:szCs w:val="24"/>
        </w:rPr>
        <w:t>De acordo com a nova regra, na hipótese em que a mãe ou o recém-nascido permaneçam internados por mais de duas semanas devido ao parto, comprovada por documentação médica, a licença-maternidade poderá ser estendida em até 120 dias após a alta hospitalar de ambos. O período de prorrogação será calculado descontando o tempo de repouso anterior ao parto.</w:t>
      </w:r>
    </w:p>
    <w:p w14:paraId="7CCAF32B" w14:textId="77777777" w:rsidR="00681D97" w:rsidRPr="00E14A9F" w:rsidRDefault="00681D97" w:rsidP="00681D97">
      <w:pPr>
        <w:pStyle w:val="Ttulo2"/>
        <w:spacing w:line="360" w:lineRule="auto"/>
        <w:jc w:val="both"/>
        <w:rPr>
          <w:rFonts w:ascii="Calibri" w:hAnsi="Calibri" w:cs="Calibri"/>
          <w:sz w:val="24"/>
          <w:szCs w:val="24"/>
        </w:rPr>
      </w:pPr>
      <w:r w:rsidRPr="00E14A9F">
        <w:rPr>
          <w:rFonts w:ascii="Calibri" w:hAnsi="Calibri" w:cs="Calibri"/>
          <w:sz w:val="24"/>
          <w:szCs w:val="24"/>
        </w:rPr>
        <w:t>Impactos na CLT e Previdência Social</w:t>
      </w:r>
    </w:p>
    <w:p w14:paraId="10DFAE69" w14:textId="77777777" w:rsidR="00681D97" w:rsidRDefault="00681D97" w:rsidP="00681D97">
      <w:pPr>
        <w:spacing w:line="360" w:lineRule="auto"/>
        <w:jc w:val="both"/>
        <w:rPr>
          <w:rFonts w:ascii="Calibri" w:hAnsi="Calibri" w:cs="Calibri"/>
          <w:color w:val="000000"/>
          <w:sz w:val="24"/>
          <w:szCs w:val="24"/>
        </w:rPr>
      </w:pPr>
      <w:r w:rsidRPr="00DF0C74">
        <w:rPr>
          <w:rFonts w:ascii="Calibri" w:hAnsi="Calibri" w:cs="Calibri"/>
          <w:sz w:val="24"/>
          <w:szCs w:val="24"/>
        </w:rPr>
        <w:t xml:space="preserve">Essas alterações buscam assegurar mais proteção à mãe e ao recém-nascido, preservando o direito ao cuidado e recuperação adequados quando foi apropriado uma internação estendida. </w:t>
      </w:r>
      <w:r w:rsidRPr="00DF0C74">
        <w:rPr>
          <w:rFonts w:ascii="Calibri" w:hAnsi="Calibri" w:cs="Calibri"/>
          <w:color w:val="000000"/>
          <w:sz w:val="24"/>
          <w:szCs w:val="24"/>
        </w:rPr>
        <w:t>Com a nova lei, as empregadas agora têm respaldo legal para ampliar o afastamento, trazendo impactos à legislação trabalhista e previdenciária.</w:t>
      </w:r>
    </w:p>
    <w:p w14:paraId="01D7AAD6" w14:textId="77777777" w:rsidR="00C6453B" w:rsidRDefault="00C6453B" w:rsidP="00681D97">
      <w:pPr>
        <w:spacing w:line="360" w:lineRule="auto"/>
        <w:jc w:val="both"/>
        <w:rPr>
          <w:rFonts w:ascii="Calibri" w:hAnsi="Calibri" w:cs="Calibri"/>
          <w:color w:val="000000"/>
          <w:sz w:val="24"/>
          <w:szCs w:val="24"/>
        </w:rPr>
      </w:pPr>
    </w:p>
    <w:p w14:paraId="259B7F37" w14:textId="77777777" w:rsidR="008F770D" w:rsidRDefault="00C6453B" w:rsidP="00681D97">
      <w:pPr>
        <w:spacing w:line="360" w:lineRule="auto"/>
        <w:jc w:val="both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P</w:t>
      </w:r>
      <w:r w:rsidR="008F4D77">
        <w:rPr>
          <w:rFonts w:ascii="Calibri" w:hAnsi="Calibri" w:cs="Calibri"/>
          <w:color w:val="000000"/>
          <w:sz w:val="24"/>
          <w:szCs w:val="24"/>
        </w:rPr>
        <w:t>ara melhor elucidação p</w:t>
      </w:r>
      <w:r>
        <w:rPr>
          <w:rFonts w:ascii="Calibri" w:hAnsi="Calibri" w:cs="Calibri"/>
          <w:color w:val="000000"/>
          <w:sz w:val="24"/>
          <w:szCs w:val="24"/>
        </w:rPr>
        <w:t xml:space="preserve">reparamos um anexo </w:t>
      </w:r>
      <w:r w:rsidR="008F4D77">
        <w:rPr>
          <w:rFonts w:ascii="Calibri" w:hAnsi="Calibri" w:cs="Calibri"/>
          <w:color w:val="000000"/>
          <w:sz w:val="24"/>
          <w:szCs w:val="24"/>
        </w:rPr>
        <w:t xml:space="preserve">com duas tabelas </w:t>
      </w:r>
      <w:r>
        <w:rPr>
          <w:rFonts w:ascii="Calibri" w:hAnsi="Calibri" w:cs="Calibri"/>
          <w:color w:val="000000"/>
          <w:sz w:val="24"/>
          <w:szCs w:val="24"/>
        </w:rPr>
        <w:t>comparativ</w:t>
      </w:r>
      <w:r w:rsidR="008F4D77">
        <w:rPr>
          <w:rFonts w:ascii="Calibri" w:hAnsi="Calibri" w:cs="Calibri"/>
          <w:color w:val="000000"/>
          <w:sz w:val="24"/>
          <w:szCs w:val="24"/>
        </w:rPr>
        <w:t>as</w:t>
      </w:r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r w:rsidR="008F2810">
        <w:rPr>
          <w:rFonts w:ascii="Calibri" w:hAnsi="Calibri" w:cs="Calibri"/>
          <w:color w:val="000000"/>
          <w:sz w:val="24"/>
          <w:szCs w:val="24"/>
        </w:rPr>
        <w:t>d</w:t>
      </w:r>
      <w:r w:rsidR="00373083">
        <w:rPr>
          <w:rFonts w:ascii="Calibri" w:hAnsi="Calibri" w:cs="Calibri"/>
          <w:color w:val="000000"/>
          <w:sz w:val="24"/>
          <w:szCs w:val="24"/>
        </w:rPr>
        <w:t xml:space="preserve">a CLT e </w:t>
      </w:r>
      <w:r w:rsidR="008F2810">
        <w:rPr>
          <w:rFonts w:ascii="Calibri" w:hAnsi="Calibri" w:cs="Calibri"/>
          <w:color w:val="000000"/>
          <w:sz w:val="24"/>
          <w:szCs w:val="24"/>
        </w:rPr>
        <w:t>d</w:t>
      </w:r>
      <w:r w:rsidR="00373083">
        <w:rPr>
          <w:rFonts w:ascii="Calibri" w:hAnsi="Calibri" w:cs="Calibri"/>
          <w:color w:val="000000"/>
          <w:sz w:val="24"/>
          <w:szCs w:val="24"/>
        </w:rPr>
        <w:t>a Lei</w:t>
      </w:r>
      <w:r w:rsidR="008F2810">
        <w:rPr>
          <w:rFonts w:ascii="Calibri" w:hAnsi="Calibri" w:cs="Calibri"/>
          <w:color w:val="000000"/>
          <w:sz w:val="24"/>
          <w:szCs w:val="24"/>
        </w:rPr>
        <w:t xml:space="preserve"> nº 8.213/91. </w:t>
      </w:r>
    </w:p>
    <w:p w14:paraId="23F4C2B0" w14:textId="77777777" w:rsidR="008F770D" w:rsidRDefault="008F770D" w:rsidP="00681D97">
      <w:pPr>
        <w:spacing w:line="360" w:lineRule="auto"/>
        <w:jc w:val="both"/>
        <w:rPr>
          <w:rFonts w:ascii="Calibri" w:hAnsi="Calibri" w:cs="Calibri"/>
          <w:color w:val="000000"/>
          <w:sz w:val="24"/>
          <w:szCs w:val="24"/>
        </w:rPr>
      </w:pPr>
    </w:p>
    <w:p w14:paraId="73C5D350" w14:textId="77777777" w:rsidR="008F770D" w:rsidRDefault="008F770D" w:rsidP="00681D97">
      <w:pPr>
        <w:spacing w:line="360" w:lineRule="auto"/>
        <w:jc w:val="both"/>
        <w:rPr>
          <w:rFonts w:ascii="Calibri" w:hAnsi="Calibri" w:cs="Calibri"/>
          <w:color w:val="000000"/>
          <w:sz w:val="24"/>
          <w:szCs w:val="24"/>
        </w:rPr>
      </w:pPr>
    </w:p>
    <w:p w14:paraId="20D1DC7E" w14:textId="7FDD9C65" w:rsidR="00C6453B" w:rsidRPr="00DF0C74" w:rsidRDefault="00373083" w:rsidP="00681D97">
      <w:pPr>
        <w:spacing w:line="360" w:lineRule="auto"/>
        <w:jc w:val="both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r w:rsidR="008F4D77">
        <w:rPr>
          <w:rFonts w:ascii="Calibri" w:hAnsi="Calibri" w:cs="Calibri"/>
          <w:color w:val="000000"/>
          <w:sz w:val="24"/>
          <w:szCs w:val="24"/>
        </w:rPr>
        <w:t xml:space="preserve"> </w:t>
      </w:r>
    </w:p>
    <w:p w14:paraId="13E3E7FB" w14:textId="77777777" w:rsidR="00E14A9F" w:rsidRPr="00DF0C74" w:rsidRDefault="00E14A9F" w:rsidP="00681D97">
      <w:pPr>
        <w:spacing w:line="360" w:lineRule="auto"/>
        <w:jc w:val="both"/>
        <w:rPr>
          <w:rFonts w:ascii="Calibri" w:hAnsi="Calibri" w:cs="Calibri"/>
          <w:color w:val="000000"/>
          <w:sz w:val="24"/>
          <w:szCs w:val="24"/>
        </w:rPr>
      </w:pPr>
    </w:p>
    <w:p w14:paraId="5487ECF2" w14:textId="14AC41CF" w:rsidR="00811884" w:rsidRDefault="00811884" w:rsidP="00811884">
      <w:pPr>
        <w:spacing w:line="360" w:lineRule="auto"/>
        <w:jc w:val="center"/>
        <w:rPr>
          <w:rFonts w:ascii="Calibri" w:hAnsi="Calibri" w:cs="Calibri"/>
          <w:b/>
          <w:bCs/>
          <w:color w:val="000000"/>
          <w:sz w:val="24"/>
          <w:szCs w:val="24"/>
        </w:rPr>
      </w:pPr>
      <w:r>
        <w:rPr>
          <w:rFonts w:ascii="Calibri" w:hAnsi="Calibri" w:cs="Calibri"/>
          <w:b/>
          <w:bCs/>
          <w:color w:val="000000"/>
          <w:sz w:val="24"/>
          <w:szCs w:val="24"/>
        </w:rPr>
        <w:lastRenderedPageBreak/>
        <w:t>ANEXO I</w:t>
      </w:r>
    </w:p>
    <w:p w14:paraId="145FFA7A" w14:textId="77777777" w:rsidR="00811884" w:rsidRDefault="00811884" w:rsidP="00681D97">
      <w:pPr>
        <w:spacing w:line="360" w:lineRule="auto"/>
        <w:jc w:val="center"/>
        <w:rPr>
          <w:rFonts w:ascii="Calibri" w:hAnsi="Calibri" w:cs="Calibri"/>
          <w:b/>
          <w:bCs/>
          <w:color w:val="000000"/>
          <w:sz w:val="24"/>
          <w:szCs w:val="24"/>
        </w:rPr>
      </w:pPr>
    </w:p>
    <w:p w14:paraId="6521F2BD" w14:textId="7D99E7D6" w:rsidR="00681D97" w:rsidRPr="00DF0C74" w:rsidRDefault="00681D97" w:rsidP="00681D97">
      <w:pPr>
        <w:spacing w:line="360" w:lineRule="auto"/>
        <w:jc w:val="center"/>
        <w:rPr>
          <w:rFonts w:ascii="Calibri" w:hAnsi="Calibri" w:cs="Calibri"/>
          <w:b/>
          <w:bCs/>
          <w:color w:val="000000"/>
          <w:sz w:val="24"/>
          <w:szCs w:val="24"/>
        </w:rPr>
      </w:pPr>
      <w:r w:rsidRPr="00DF0C74">
        <w:rPr>
          <w:rFonts w:ascii="Calibri" w:hAnsi="Calibri" w:cs="Calibri"/>
          <w:b/>
          <w:bCs/>
          <w:color w:val="000000"/>
          <w:sz w:val="24"/>
          <w:szCs w:val="24"/>
        </w:rPr>
        <w:t>Quadro comparativo CLT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4247"/>
        <w:gridCol w:w="4247"/>
      </w:tblGrid>
      <w:tr w:rsidR="00681D97" w:rsidRPr="00DF0C74" w14:paraId="07A58422" w14:textId="77777777" w:rsidTr="002E42CF">
        <w:tc>
          <w:tcPr>
            <w:tcW w:w="4247" w:type="dxa"/>
          </w:tcPr>
          <w:p w14:paraId="626A23AF" w14:textId="77777777" w:rsidR="00681D97" w:rsidRPr="00DF0C74" w:rsidRDefault="00681D97" w:rsidP="00E14A9F">
            <w:pPr>
              <w:jc w:val="both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DF0C74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  <w:t>COMO ERA</w:t>
            </w:r>
          </w:p>
        </w:tc>
        <w:tc>
          <w:tcPr>
            <w:tcW w:w="4247" w:type="dxa"/>
          </w:tcPr>
          <w:p w14:paraId="1CE7E76A" w14:textId="77777777" w:rsidR="00681D97" w:rsidRPr="00DF0C74" w:rsidRDefault="00681D97" w:rsidP="00E14A9F">
            <w:pPr>
              <w:jc w:val="both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DF0C74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  <w:t>COMO FICOU</w:t>
            </w:r>
          </w:p>
        </w:tc>
      </w:tr>
      <w:tr w:rsidR="00681D97" w:rsidRPr="00DF0C74" w14:paraId="493E35CD" w14:textId="77777777" w:rsidTr="002E42CF">
        <w:tc>
          <w:tcPr>
            <w:tcW w:w="4247" w:type="dxa"/>
          </w:tcPr>
          <w:p w14:paraId="73CACFC9" w14:textId="77777777" w:rsidR="00681D97" w:rsidRPr="00372DED" w:rsidRDefault="00681D97" w:rsidP="00E14A9F">
            <w:pPr>
              <w:spacing w:after="160"/>
              <w:jc w:val="both"/>
              <w:rPr>
                <w:rFonts w:ascii="Calibri" w:hAnsi="Calibri" w:cs="Calibri"/>
                <w:sz w:val="24"/>
                <w:szCs w:val="24"/>
              </w:rPr>
            </w:pPr>
            <w:r w:rsidRPr="00372DED">
              <w:rPr>
                <w:rFonts w:ascii="Calibri" w:hAnsi="Calibri" w:cs="Calibri"/>
                <w:sz w:val="24"/>
                <w:szCs w:val="24"/>
              </w:rPr>
              <w:t>Art. 392. A empregada gestante tem direito à licença-maternidade de 120 (cento e vinte) dias, sem prejuízo do emprego e do salário.                     </w:t>
            </w:r>
            <w:hyperlink r:id="rId8" w:anchor="art1" w:history="1">
              <w:r w:rsidRPr="00372DED">
                <w:rPr>
                  <w:rStyle w:val="Hyperlink"/>
                  <w:rFonts w:ascii="Calibri" w:eastAsiaTheme="majorEastAsia" w:hAnsi="Calibri" w:cs="Calibri"/>
                  <w:sz w:val="24"/>
                  <w:szCs w:val="24"/>
                </w:rPr>
                <w:t>(Redação dada pela Lei nº 10.421, de 2002)</w:t>
              </w:r>
            </w:hyperlink>
            <w:r w:rsidRPr="00372DED">
              <w:rPr>
                <w:rFonts w:ascii="Calibri" w:hAnsi="Calibri" w:cs="Calibri"/>
                <w:sz w:val="24"/>
                <w:szCs w:val="24"/>
              </w:rPr>
              <w:t>         </w:t>
            </w:r>
            <w:hyperlink r:id="rId9" w:anchor="art5i" w:history="1">
              <w:r w:rsidRPr="00372DED">
                <w:rPr>
                  <w:rStyle w:val="Hyperlink"/>
                  <w:rFonts w:ascii="Calibri" w:eastAsiaTheme="majorEastAsia" w:hAnsi="Calibri" w:cs="Calibri"/>
                  <w:sz w:val="24"/>
                  <w:szCs w:val="24"/>
                </w:rPr>
                <w:t>(Vide Lei nº 13.985, de 2020)</w:t>
              </w:r>
            </w:hyperlink>
          </w:p>
          <w:p w14:paraId="46923E24" w14:textId="77777777" w:rsidR="00681D97" w:rsidRPr="00DF0C74" w:rsidRDefault="00681D97" w:rsidP="00E14A9F">
            <w:pPr>
              <w:jc w:val="both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247" w:type="dxa"/>
          </w:tcPr>
          <w:p w14:paraId="7366C91C" w14:textId="77777777" w:rsidR="00681D97" w:rsidRPr="00DF0C74" w:rsidRDefault="00681D97" w:rsidP="00E14A9F">
            <w:pPr>
              <w:jc w:val="both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372DED">
              <w:rPr>
                <w:rFonts w:ascii="Calibri" w:hAnsi="Calibri" w:cs="Calibri"/>
                <w:sz w:val="24"/>
                <w:szCs w:val="24"/>
              </w:rPr>
              <w:t>Art. 392. A empregada gestante tem direito à licença-maternidade de 120 (cento e vinte) dias, sem prejuízo do</w:t>
            </w:r>
            <w:r w:rsidRPr="00DF0C74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r w:rsidRPr="00372DED">
              <w:rPr>
                <w:rFonts w:ascii="Calibri" w:hAnsi="Calibri" w:cs="Calibri"/>
                <w:sz w:val="24"/>
                <w:szCs w:val="24"/>
              </w:rPr>
              <w:t>emprego e do salário.                     </w:t>
            </w:r>
            <w:hyperlink r:id="rId10" w:anchor="art1" w:history="1">
              <w:r w:rsidRPr="00372DED">
                <w:rPr>
                  <w:rStyle w:val="Hyperlink"/>
                  <w:rFonts w:ascii="Calibri" w:eastAsiaTheme="majorEastAsia" w:hAnsi="Calibri" w:cs="Calibri"/>
                  <w:sz w:val="24"/>
                  <w:szCs w:val="24"/>
                </w:rPr>
                <w:t>(Redação dada pela Lei nº 10.421, de 2002)</w:t>
              </w:r>
            </w:hyperlink>
            <w:r w:rsidRPr="00372DED">
              <w:rPr>
                <w:rFonts w:ascii="Calibri" w:hAnsi="Calibri" w:cs="Calibri"/>
                <w:sz w:val="24"/>
                <w:szCs w:val="24"/>
              </w:rPr>
              <w:t>         </w:t>
            </w:r>
            <w:hyperlink r:id="rId11" w:anchor="art5i" w:history="1">
              <w:r w:rsidRPr="00372DED">
                <w:rPr>
                  <w:rStyle w:val="Hyperlink"/>
                  <w:rFonts w:ascii="Calibri" w:eastAsiaTheme="majorEastAsia" w:hAnsi="Calibri" w:cs="Calibri"/>
                  <w:sz w:val="24"/>
                  <w:szCs w:val="24"/>
                </w:rPr>
                <w:t>(Vide Lei nº 13.985, de 2020)</w:t>
              </w:r>
            </w:hyperlink>
          </w:p>
        </w:tc>
      </w:tr>
      <w:tr w:rsidR="00681D97" w:rsidRPr="00DF0C74" w14:paraId="0BD3D98D" w14:textId="77777777" w:rsidTr="002E42CF">
        <w:tc>
          <w:tcPr>
            <w:tcW w:w="4247" w:type="dxa"/>
          </w:tcPr>
          <w:p w14:paraId="72A2D269" w14:textId="77777777" w:rsidR="00681D97" w:rsidRPr="00372DED" w:rsidRDefault="00681D97" w:rsidP="00E14A9F">
            <w:pPr>
              <w:spacing w:after="160"/>
              <w:jc w:val="both"/>
              <w:rPr>
                <w:rFonts w:ascii="Calibri" w:hAnsi="Calibri" w:cs="Calibri"/>
                <w:sz w:val="24"/>
                <w:szCs w:val="24"/>
              </w:rPr>
            </w:pPr>
            <w:r w:rsidRPr="00372DED">
              <w:rPr>
                <w:rFonts w:ascii="Calibri" w:hAnsi="Calibri" w:cs="Calibri"/>
                <w:sz w:val="24"/>
                <w:szCs w:val="24"/>
              </w:rPr>
              <w:t>§ 1</w:t>
            </w:r>
            <w:r w:rsidRPr="00372DED">
              <w:rPr>
                <w:rFonts w:ascii="Calibri" w:hAnsi="Calibri" w:cs="Calibri"/>
                <w:sz w:val="24"/>
                <w:szCs w:val="24"/>
                <w:u w:val="single"/>
                <w:vertAlign w:val="superscript"/>
              </w:rPr>
              <w:t>o</w:t>
            </w:r>
            <w:r w:rsidRPr="00372DED">
              <w:rPr>
                <w:rFonts w:ascii="Calibri" w:hAnsi="Calibri" w:cs="Calibri"/>
                <w:sz w:val="24"/>
                <w:szCs w:val="24"/>
              </w:rPr>
              <w:t> A empregada deve, mediante atestado médico, notificar o seu empregador da data do início do afastamento do emprego, que poderá ocorrer entre o 28º (vigésimo oitavo) dia antes do parto e ocorrência deste.                </w:t>
            </w:r>
            <w:hyperlink r:id="rId12" w:anchor="art1" w:history="1">
              <w:r w:rsidRPr="00372DED">
                <w:rPr>
                  <w:rStyle w:val="Hyperlink"/>
                  <w:rFonts w:ascii="Calibri" w:eastAsiaTheme="majorEastAsia" w:hAnsi="Calibri" w:cs="Calibri"/>
                  <w:sz w:val="24"/>
                  <w:szCs w:val="24"/>
                </w:rPr>
                <w:t>(Redação dada pela Lei nº 10.421, de 2002)</w:t>
              </w:r>
            </w:hyperlink>
            <w:r w:rsidRPr="00372DED">
              <w:rPr>
                <w:rFonts w:ascii="Calibri" w:hAnsi="Calibri" w:cs="Calibri"/>
                <w:sz w:val="24"/>
                <w:szCs w:val="24"/>
              </w:rPr>
              <w:t>     </w:t>
            </w:r>
            <w:hyperlink r:id="rId13" w:history="1">
              <w:r w:rsidRPr="00372DED">
                <w:rPr>
                  <w:rStyle w:val="Hyperlink"/>
                  <w:rFonts w:ascii="Calibri" w:eastAsiaTheme="majorEastAsia" w:hAnsi="Calibri" w:cs="Calibri"/>
                  <w:sz w:val="24"/>
                  <w:szCs w:val="24"/>
                </w:rPr>
                <w:t>(Vide ADI 6327)</w:t>
              </w:r>
            </w:hyperlink>
          </w:p>
          <w:p w14:paraId="6B6EF749" w14:textId="77777777" w:rsidR="00681D97" w:rsidRPr="00DF0C74" w:rsidRDefault="00681D97" w:rsidP="00E14A9F">
            <w:pPr>
              <w:jc w:val="both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247" w:type="dxa"/>
          </w:tcPr>
          <w:p w14:paraId="1B119027" w14:textId="77777777" w:rsidR="00681D97" w:rsidRPr="00DF0C74" w:rsidRDefault="00681D97" w:rsidP="00E14A9F">
            <w:pPr>
              <w:jc w:val="both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372DED">
              <w:rPr>
                <w:rFonts w:ascii="Calibri" w:hAnsi="Calibri" w:cs="Calibri"/>
                <w:sz w:val="24"/>
                <w:szCs w:val="24"/>
              </w:rPr>
              <w:t>§ 1</w:t>
            </w:r>
            <w:r w:rsidRPr="00372DED">
              <w:rPr>
                <w:rFonts w:ascii="Calibri" w:hAnsi="Calibri" w:cs="Calibri"/>
                <w:sz w:val="24"/>
                <w:szCs w:val="24"/>
                <w:u w:val="single"/>
                <w:vertAlign w:val="superscript"/>
              </w:rPr>
              <w:t>o</w:t>
            </w:r>
            <w:r w:rsidRPr="00372DED">
              <w:rPr>
                <w:rFonts w:ascii="Calibri" w:hAnsi="Calibri" w:cs="Calibri"/>
                <w:sz w:val="24"/>
                <w:szCs w:val="24"/>
              </w:rPr>
              <w:t> A empregada deve, mediante atestado médico, notificar o seu empregador da data do início do afastamento do emprego, que poderá ocorrer entre o 28º (vigésimo oitavo) dia antes do parto e ocorrência deste.                </w:t>
            </w:r>
            <w:hyperlink r:id="rId14" w:anchor="art1" w:history="1">
              <w:r w:rsidRPr="00372DED">
                <w:rPr>
                  <w:rStyle w:val="Hyperlink"/>
                  <w:rFonts w:ascii="Calibri" w:eastAsiaTheme="majorEastAsia" w:hAnsi="Calibri" w:cs="Calibri"/>
                  <w:sz w:val="24"/>
                  <w:szCs w:val="24"/>
                </w:rPr>
                <w:t>(Redação dada pela Lei nº 10.421, de 2002)</w:t>
              </w:r>
            </w:hyperlink>
            <w:r w:rsidRPr="00372DED">
              <w:rPr>
                <w:rFonts w:ascii="Calibri" w:hAnsi="Calibri" w:cs="Calibri"/>
                <w:sz w:val="24"/>
                <w:szCs w:val="24"/>
              </w:rPr>
              <w:t>     </w:t>
            </w:r>
            <w:hyperlink r:id="rId15" w:history="1">
              <w:r w:rsidRPr="00372DED">
                <w:rPr>
                  <w:rStyle w:val="Hyperlink"/>
                  <w:rFonts w:ascii="Calibri" w:eastAsiaTheme="majorEastAsia" w:hAnsi="Calibri" w:cs="Calibri"/>
                  <w:sz w:val="24"/>
                  <w:szCs w:val="24"/>
                </w:rPr>
                <w:t>(Vide ADI 6327)</w:t>
              </w:r>
            </w:hyperlink>
          </w:p>
        </w:tc>
      </w:tr>
      <w:tr w:rsidR="00681D97" w:rsidRPr="00DF0C74" w14:paraId="29C22774" w14:textId="77777777" w:rsidTr="002E42CF">
        <w:tc>
          <w:tcPr>
            <w:tcW w:w="4247" w:type="dxa"/>
          </w:tcPr>
          <w:p w14:paraId="594D9E3C" w14:textId="77777777" w:rsidR="00681D97" w:rsidRPr="00372DED" w:rsidRDefault="00681D97" w:rsidP="00E14A9F">
            <w:pPr>
              <w:spacing w:after="160"/>
              <w:jc w:val="both"/>
              <w:rPr>
                <w:rFonts w:ascii="Calibri" w:hAnsi="Calibri" w:cs="Calibri"/>
                <w:sz w:val="24"/>
                <w:szCs w:val="24"/>
              </w:rPr>
            </w:pPr>
            <w:r w:rsidRPr="00372DED">
              <w:rPr>
                <w:rFonts w:ascii="Calibri" w:hAnsi="Calibri" w:cs="Calibri"/>
                <w:sz w:val="24"/>
                <w:szCs w:val="24"/>
              </w:rPr>
              <w:t>§ 2</w:t>
            </w:r>
            <w:r w:rsidRPr="00372DED">
              <w:rPr>
                <w:rFonts w:ascii="Calibri" w:hAnsi="Calibri" w:cs="Calibri"/>
                <w:sz w:val="24"/>
                <w:szCs w:val="24"/>
                <w:u w:val="single"/>
                <w:vertAlign w:val="superscript"/>
              </w:rPr>
              <w:t>o</w:t>
            </w:r>
            <w:r w:rsidRPr="00372DED">
              <w:rPr>
                <w:rFonts w:ascii="Calibri" w:hAnsi="Calibri" w:cs="Calibri"/>
                <w:sz w:val="24"/>
                <w:szCs w:val="24"/>
              </w:rPr>
              <w:t> Os períodos de repouso, antes e depois do parto, poderão ser aumentados de 2 (duas) semanas cada um, mediante atestado médico.                </w:t>
            </w:r>
            <w:hyperlink r:id="rId16" w:anchor="art1" w:history="1">
              <w:r w:rsidRPr="00372DED">
                <w:rPr>
                  <w:rStyle w:val="Hyperlink"/>
                  <w:rFonts w:ascii="Calibri" w:eastAsiaTheme="majorEastAsia" w:hAnsi="Calibri" w:cs="Calibri"/>
                  <w:sz w:val="24"/>
                  <w:szCs w:val="24"/>
                </w:rPr>
                <w:t>(Redação dada pela Lei nº 10.421, de 2002)</w:t>
              </w:r>
            </w:hyperlink>
            <w:r w:rsidRPr="00372DED">
              <w:rPr>
                <w:rFonts w:ascii="Calibri" w:hAnsi="Calibri" w:cs="Calibri"/>
                <w:sz w:val="24"/>
                <w:szCs w:val="24"/>
              </w:rPr>
              <w:t>    </w:t>
            </w:r>
            <w:hyperlink r:id="rId17" w:history="1">
              <w:r w:rsidRPr="00372DED">
                <w:rPr>
                  <w:rStyle w:val="Hyperlink"/>
                  <w:rFonts w:ascii="Calibri" w:eastAsiaTheme="majorEastAsia" w:hAnsi="Calibri" w:cs="Calibri"/>
                  <w:sz w:val="24"/>
                  <w:szCs w:val="24"/>
                </w:rPr>
                <w:t>(Vide ADI 6327)</w:t>
              </w:r>
            </w:hyperlink>
          </w:p>
          <w:p w14:paraId="11BC3D7D" w14:textId="77777777" w:rsidR="00681D97" w:rsidRPr="00DF0C74" w:rsidRDefault="00681D97" w:rsidP="00E14A9F">
            <w:pPr>
              <w:jc w:val="both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247" w:type="dxa"/>
          </w:tcPr>
          <w:p w14:paraId="7D8FA824" w14:textId="77777777" w:rsidR="00681D97" w:rsidRPr="00372DED" w:rsidRDefault="00681D97" w:rsidP="00E14A9F">
            <w:pPr>
              <w:spacing w:after="160"/>
              <w:jc w:val="both"/>
              <w:rPr>
                <w:rFonts w:ascii="Calibri" w:hAnsi="Calibri" w:cs="Calibri"/>
                <w:sz w:val="24"/>
                <w:szCs w:val="24"/>
              </w:rPr>
            </w:pPr>
            <w:r w:rsidRPr="00372DED">
              <w:rPr>
                <w:rFonts w:ascii="Calibri" w:hAnsi="Calibri" w:cs="Calibri"/>
                <w:sz w:val="24"/>
                <w:szCs w:val="24"/>
              </w:rPr>
              <w:t>§ 2</w:t>
            </w:r>
            <w:r w:rsidRPr="00372DED">
              <w:rPr>
                <w:rFonts w:ascii="Calibri" w:hAnsi="Calibri" w:cs="Calibri"/>
                <w:sz w:val="24"/>
                <w:szCs w:val="24"/>
                <w:u w:val="single"/>
                <w:vertAlign w:val="superscript"/>
              </w:rPr>
              <w:t>o</w:t>
            </w:r>
            <w:r w:rsidRPr="00372DED">
              <w:rPr>
                <w:rFonts w:ascii="Calibri" w:hAnsi="Calibri" w:cs="Calibri"/>
                <w:sz w:val="24"/>
                <w:szCs w:val="24"/>
              </w:rPr>
              <w:t> Os períodos de repouso, antes e depois do parto, poderão ser aumentados de 2 (duas) semanas cada um, mediante atestado médico.                </w:t>
            </w:r>
            <w:hyperlink r:id="rId18" w:anchor="art1" w:history="1">
              <w:r w:rsidRPr="00372DED">
                <w:rPr>
                  <w:rStyle w:val="Hyperlink"/>
                  <w:rFonts w:ascii="Calibri" w:eastAsiaTheme="majorEastAsia" w:hAnsi="Calibri" w:cs="Calibri"/>
                  <w:sz w:val="24"/>
                  <w:szCs w:val="24"/>
                </w:rPr>
                <w:t>(Redação dada pela Lei nº 10.421, de 2002)</w:t>
              </w:r>
            </w:hyperlink>
            <w:r w:rsidRPr="00372DED">
              <w:rPr>
                <w:rFonts w:ascii="Calibri" w:hAnsi="Calibri" w:cs="Calibri"/>
                <w:sz w:val="24"/>
                <w:szCs w:val="24"/>
              </w:rPr>
              <w:t>    </w:t>
            </w:r>
            <w:hyperlink r:id="rId19" w:history="1">
              <w:r w:rsidRPr="00372DED">
                <w:rPr>
                  <w:rStyle w:val="Hyperlink"/>
                  <w:rFonts w:ascii="Calibri" w:eastAsiaTheme="majorEastAsia" w:hAnsi="Calibri" w:cs="Calibri"/>
                  <w:sz w:val="24"/>
                  <w:szCs w:val="24"/>
                </w:rPr>
                <w:t>(Vide ADI 6327)</w:t>
              </w:r>
            </w:hyperlink>
          </w:p>
          <w:p w14:paraId="0B327514" w14:textId="77777777" w:rsidR="00681D97" w:rsidRPr="00DF0C74" w:rsidRDefault="00681D97" w:rsidP="00E14A9F">
            <w:pPr>
              <w:jc w:val="both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</w:tr>
      <w:tr w:rsidR="00681D97" w:rsidRPr="00DF0C74" w14:paraId="2BC68740" w14:textId="77777777" w:rsidTr="002E42CF">
        <w:tc>
          <w:tcPr>
            <w:tcW w:w="4247" w:type="dxa"/>
          </w:tcPr>
          <w:p w14:paraId="187066E8" w14:textId="77777777" w:rsidR="00681D97" w:rsidRPr="00372DED" w:rsidRDefault="00681D97" w:rsidP="00E14A9F">
            <w:pPr>
              <w:spacing w:after="160"/>
              <w:jc w:val="both"/>
              <w:rPr>
                <w:rFonts w:ascii="Calibri" w:hAnsi="Calibri" w:cs="Calibri"/>
                <w:sz w:val="24"/>
                <w:szCs w:val="24"/>
              </w:rPr>
            </w:pPr>
            <w:r w:rsidRPr="00372DED">
              <w:rPr>
                <w:rFonts w:ascii="Calibri" w:hAnsi="Calibri" w:cs="Calibri"/>
                <w:sz w:val="24"/>
                <w:szCs w:val="24"/>
              </w:rPr>
              <w:t>§ 3</w:t>
            </w:r>
            <w:r w:rsidRPr="00372DED">
              <w:rPr>
                <w:rFonts w:ascii="Calibri" w:hAnsi="Calibri" w:cs="Calibri"/>
                <w:sz w:val="24"/>
                <w:szCs w:val="24"/>
                <w:u w:val="single"/>
                <w:vertAlign w:val="superscript"/>
              </w:rPr>
              <w:t>o</w:t>
            </w:r>
            <w:r w:rsidRPr="00372DED">
              <w:rPr>
                <w:rFonts w:ascii="Calibri" w:hAnsi="Calibri" w:cs="Calibri"/>
                <w:sz w:val="24"/>
                <w:szCs w:val="24"/>
              </w:rPr>
              <w:t> Em caso de parto antecipado, a mulher terá direito aos 120 (cento e vinte) dias previstos neste artigo.                   </w:t>
            </w:r>
            <w:hyperlink r:id="rId20" w:anchor="art1" w:history="1">
              <w:r w:rsidRPr="00372DED">
                <w:rPr>
                  <w:rStyle w:val="Hyperlink"/>
                  <w:rFonts w:ascii="Calibri" w:eastAsiaTheme="majorEastAsia" w:hAnsi="Calibri" w:cs="Calibri"/>
                  <w:sz w:val="24"/>
                  <w:szCs w:val="24"/>
                </w:rPr>
                <w:t>(Redação dada pela Lei nº 10.421, de 2002)</w:t>
              </w:r>
            </w:hyperlink>
          </w:p>
          <w:p w14:paraId="2B289CFD" w14:textId="77777777" w:rsidR="00681D97" w:rsidRPr="00DF0C74" w:rsidRDefault="00681D97" w:rsidP="00E14A9F">
            <w:pPr>
              <w:jc w:val="both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247" w:type="dxa"/>
          </w:tcPr>
          <w:p w14:paraId="501B4D0F" w14:textId="77777777" w:rsidR="00681D97" w:rsidRPr="00372DED" w:rsidRDefault="00681D97" w:rsidP="00E14A9F">
            <w:pPr>
              <w:spacing w:after="160"/>
              <w:jc w:val="both"/>
              <w:rPr>
                <w:rFonts w:ascii="Calibri" w:hAnsi="Calibri" w:cs="Calibri"/>
                <w:sz w:val="24"/>
                <w:szCs w:val="24"/>
              </w:rPr>
            </w:pPr>
            <w:r w:rsidRPr="00372DED">
              <w:rPr>
                <w:rFonts w:ascii="Calibri" w:hAnsi="Calibri" w:cs="Calibri"/>
                <w:sz w:val="24"/>
                <w:szCs w:val="24"/>
              </w:rPr>
              <w:t>§ 3</w:t>
            </w:r>
            <w:r w:rsidRPr="00372DED">
              <w:rPr>
                <w:rFonts w:ascii="Calibri" w:hAnsi="Calibri" w:cs="Calibri"/>
                <w:sz w:val="24"/>
                <w:szCs w:val="24"/>
                <w:u w:val="single"/>
                <w:vertAlign w:val="superscript"/>
              </w:rPr>
              <w:t>o</w:t>
            </w:r>
            <w:r w:rsidRPr="00372DED">
              <w:rPr>
                <w:rFonts w:ascii="Calibri" w:hAnsi="Calibri" w:cs="Calibri"/>
                <w:sz w:val="24"/>
                <w:szCs w:val="24"/>
              </w:rPr>
              <w:t> Em caso de parto antecipado, a mulher terá direito aos 120 (cento e vinte) dias previstos neste artigo.                   </w:t>
            </w:r>
            <w:hyperlink r:id="rId21" w:anchor="art1" w:history="1">
              <w:r w:rsidRPr="00372DED">
                <w:rPr>
                  <w:rStyle w:val="Hyperlink"/>
                  <w:rFonts w:ascii="Calibri" w:eastAsiaTheme="majorEastAsia" w:hAnsi="Calibri" w:cs="Calibri"/>
                  <w:sz w:val="24"/>
                  <w:szCs w:val="24"/>
                </w:rPr>
                <w:t>(Redação dada pela Lei nº 10.421, de 2002)</w:t>
              </w:r>
            </w:hyperlink>
          </w:p>
          <w:p w14:paraId="4268064D" w14:textId="77777777" w:rsidR="00681D97" w:rsidRPr="00DF0C74" w:rsidRDefault="00681D97" w:rsidP="00E14A9F">
            <w:pPr>
              <w:jc w:val="both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</w:tr>
      <w:tr w:rsidR="00681D97" w:rsidRPr="00DF0C74" w14:paraId="73916259" w14:textId="77777777" w:rsidTr="002E42CF">
        <w:tc>
          <w:tcPr>
            <w:tcW w:w="4247" w:type="dxa"/>
          </w:tcPr>
          <w:p w14:paraId="7A3F5C77" w14:textId="77777777" w:rsidR="00681D97" w:rsidRPr="00372DED" w:rsidRDefault="00681D97" w:rsidP="00E14A9F">
            <w:pPr>
              <w:spacing w:after="160"/>
              <w:jc w:val="both"/>
              <w:rPr>
                <w:rFonts w:ascii="Calibri" w:hAnsi="Calibri" w:cs="Calibri"/>
                <w:sz w:val="24"/>
                <w:szCs w:val="24"/>
              </w:rPr>
            </w:pPr>
            <w:r w:rsidRPr="00372DED">
              <w:rPr>
                <w:rFonts w:ascii="Calibri" w:hAnsi="Calibri" w:cs="Calibri"/>
                <w:sz w:val="24"/>
                <w:szCs w:val="24"/>
              </w:rPr>
              <w:t>§ 4</w:t>
            </w:r>
            <w:r w:rsidRPr="00372DED">
              <w:rPr>
                <w:rFonts w:ascii="Calibri" w:hAnsi="Calibri" w:cs="Calibri"/>
                <w:sz w:val="24"/>
                <w:szCs w:val="24"/>
                <w:u w:val="single"/>
                <w:vertAlign w:val="superscript"/>
              </w:rPr>
              <w:t>o</w:t>
            </w:r>
            <w:r w:rsidRPr="00372DED">
              <w:rPr>
                <w:rFonts w:ascii="Calibri" w:hAnsi="Calibri" w:cs="Calibri"/>
                <w:sz w:val="24"/>
                <w:szCs w:val="24"/>
              </w:rPr>
              <w:t xml:space="preserve"> É garantido à empregada, durante a gravidez, sem prejuízo do salário e demais </w:t>
            </w:r>
            <w:r w:rsidRPr="00372DED">
              <w:rPr>
                <w:rFonts w:ascii="Calibri" w:hAnsi="Calibri" w:cs="Calibri"/>
                <w:sz w:val="24"/>
                <w:szCs w:val="24"/>
              </w:rPr>
              <w:lastRenderedPageBreak/>
              <w:t>direitos:       </w:t>
            </w:r>
            <w:hyperlink r:id="rId22" w:anchor="art392" w:history="1">
              <w:r w:rsidRPr="00372DED">
                <w:rPr>
                  <w:rStyle w:val="Hyperlink"/>
                  <w:rFonts w:ascii="Calibri" w:eastAsiaTheme="majorEastAsia" w:hAnsi="Calibri" w:cs="Calibri"/>
                  <w:sz w:val="24"/>
                  <w:szCs w:val="24"/>
                </w:rPr>
                <w:t>(Redação dada pela Lei nº 9.799, de 26.5.1999)</w:t>
              </w:r>
            </w:hyperlink>
          </w:p>
          <w:p w14:paraId="6BCB469A" w14:textId="77777777" w:rsidR="00681D97" w:rsidRPr="00372DED" w:rsidRDefault="00681D97" w:rsidP="00E14A9F">
            <w:pPr>
              <w:spacing w:after="160"/>
              <w:jc w:val="both"/>
              <w:rPr>
                <w:rFonts w:ascii="Calibri" w:hAnsi="Calibri" w:cs="Calibri"/>
                <w:sz w:val="24"/>
                <w:szCs w:val="24"/>
              </w:rPr>
            </w:pPr>
            <w:r w:rsidRPr="00372DED">
              <w:rPr>
                <w:rFonts w:ascii="Calibri" w:hAnsi="Calibri" w:cs="Calibri"/>
                <w:sz w:val="24"/>
                <w:szCs w:val="24"/>
              </w:rPr>
              <w:t>I - transferência de função, quando as condições de saúde o exigirem, assegurada a retomada da função anteriormente exercida, logo após o retorno ao trabalho;      </w:t>
            </w:r>
            <w:hyperlink r:id="rId23" w:anchor="art392" w:history="1">
              <w:r w:rsidRPr="00372DED">
                <w:rPr>
                  <w:rStyle w:val="Hyperlink"/>
                  <w:rFonts w:ascii="Calibri" w:eastAsiaTheme="majorEastAsia" w:hAnsi="Calibri" w:cs="Calibri"/>
                  <w:sz w:val="24"/>
                  <w:szCs w:val="24"/>
                </w:rPr>
                <w:t>(Incluído pela Lei nº 9.799, de 26.5.1999)</w:t>
              </w:r>
            </w:hyperlink>
          </w:p>
          <w:p w14:paraId="70606812" w14:textId="77777777" w:rsidR="00681D97" w:rsidRPr="00372DED" w:rsidRDefault="00681D97" w:rsidP="00E14A9F">
            <w:pPr>
              <w:spacing w:after="160"/>
              <w:jc w:val="both"/>
              <w:rPr>
                <w:rFonts w:ascii="Calibri" w:hAnsi="Calibri" w:cs="Calibri"/>
                <w:sz w:val="24"/>
                <w:szCs w:val="24"/>
              </w:rPr>
            </w:pPr>
            <w:r w:rsidRPr="00372DED">
              <w:rPr>
                <w:rFonts w:ascii="Calibri" w:hAnsi="Calibri" w:cs="Calibri"/>
                <w:sz w:val="24"/>
                <w:szCs w:val="24"/>
              </w:rPr>
              <w:t xml:space="preserve">II - </w:t>
            </w:r>
            <w:proofErr w:type="gramStart"/>
            <w:r w:rsidRPr="00372DED">
              <w:rPr>
                <w:rFonts w:ascii="Calibri" w:hAnsi="Calibri" w:cs="Calibri"/>
                <w:sz w:val="24"/>
                <w:szCs w:val="24"/>
              </w:rPr>
              <w:t>dispensa</w:t>
            </w:r>
            <w:proofErr w:type="gramEnd"/>
            <w:r w:rsidRPr="00372DED">
              <w:rPr>
                <w:rFonts w:ascii="Calibri" w:hAnsi="Calibri" w:cs="Calibri"/>
                <w:sz w:val="24"/>
                <w:szCs w:val="24"/>
              </w:rPr>
              <w:t xml:space="preserve"> do horário de trabalho pelo tempo necessário para a realização de, no mínimo, seis consultas médicas e demais exames complementares.      </w:t>
            </w:r>
            <w:hyperlink r:id="rId24" w:anchor="art392" w:history="1">
              <w:r w:rsidRPr="00372DED">
                <w:rPr>
                  <w:rStyle w:val="Hyperlink"/>
                  <w:rFonts w:ascii="Calibri" w:eastAsiaTheme="majorEastAsia" w:hAnsi="Calibri" w:cs="Calibri"/>
                  <w:sz w:val="24"/>
                  <w:szCs w:val="24"/>
                </w:rPr>
                <w:t>(Incluído pela Lei nº 9.799, de 26.5.1999)</w:t>
              </w:r>
            </w:hyperlink>
          </w:p>
          <w:p w14:paraId="3D856A8F" w14:textId="77777777" w:rsidR="00681D97" w:rsidRPr="00DF0C74" w:rsidRDefault="00681D97" w:rsidP="00E14A9F">
            <w:pPr>
              <w:jc w:val="both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247" w:type="dxa"/>
          </w:tcPr>
          <w:p w14:paraId="4255B8B4" w14:textId="77777777" w:rsidR="00681D97" w:rsidRPr="00372DED" w:rsidRDefault="00681D97" w:rsidP="00E14A9F">
            <w:pPr>
              <w:spacing w:after="160"/>
              <w:jc w:val="both"/>
              <w:rPr>
                <w:rFonts w:ascii="Calibri" w:hAnsi="Calibri" w:cs="Calibri"/>
                <w:sz w:val="24"/>
                <w:szCs w:val="24"/>
              </w:rPr>
            </w:pPr>
            <w:r w:rsidRPr="00372DED">
              <w:rPr>
                <w:rFonts w:ascii="Calibri" w:hAnsi="Calibri" w:cs="Calibri"/>
                <w:sz w:val="24"/>
                <w:szCs w:val="24"/>
              </w:rPr>
              <w:lastRenderedPageBreak/>
              <w:t>§ 4</w:t>
            </w:r>
            <w:r w:rsidRPr="00372DED">
              <w:rPr>
                <w:rFonts w:ascii="Calibri" w:hAnsi="Calibri" w:cs="Calibri"/>
                <w:sz w:val="24"/>
                <w:szCs w:val="24"/>
                <w:u w:val="single"/>
                <w:vertAlign w:val="superscript"/>
              </w:rPr>
              <w:t>o</w:t>
            </w:r>
            <w:r w:rsidRPr="00372DED">
              <w:rPr>
                <w:rFonts w:ascii="Calibri" w:hAnsi="Calibri" w:cs="Calibri"/>
                <w:sz w:val="24"/>
                <w:szCs w:val="24"/>
              </w:rPr>
              <w:t xml:space="preserve"> É garantido à empregada, durante a gravidez, sem prejuízo do salário e demais </w:t>
            </w:r>
            <w:r w:rsidRPr="00372DED">
              <w:rPr>
                <w:rFonts w:ascii="Calibri" w:hAnsi="Calibri" w:cs="Calibri"/>
                <w:sz w:val="24"/>
                <w:szCs w:val="24"/>
              </w:rPr>
              <w:lastRenderedPageBreak/>
              <w:t>direitos:       </w:t>
            </w:r>
            <w:hyperlink r:id="rId25" w:anchor="art392" w:history="1">
              <w:r w:rsidRPr="00372DED">
                <w:rPr>
                  <w:rStyle w:val="Hyperlink"/>
                  <w:rFonts w:ascii="Calibri" w:eastAsiaTheme="majorEastAsia" w:hAnsi="Calibri" w:cs="Calibri"/>
                  <w:sz w:val="24"/>
                  <w:szCs w:val="24"/>
                </w:rPr>
                <w:t>(Redação dada pela Lei nº 9.799, de 26.5.1999)</w:t>
              </w:r>
            </w:hyperlink>
          </w:p>
          <w:p w14:paraId="6D9BB98A" w14:textId="77777777" w:rsidR="00681D97" w:rsidRPr="00372DED" w:rsidRDefault="00681D97" w:rsidP="00E14A9F">
            <w:pPr>
              <w:spacing w:after="160"/>
              <w:jc w:val="both"/>
              <w:rPr>
                <w:rFonts w:ascii="Calibri" w:hAnsi="Calibri" w:cs="Calibri"/>
                <w:sz w:val="24"/>
                <w:szCs w:val="24"/>
              </w:rPr>
            </w:pPr>
            <w:r w:rsidRPr="00372DED">
              <w:rPr>
                <w:rFonts w:ascii="Calibri" w:hAnsi="Calibri" w:cs="Calibri"/>
                <w:sz w:val="24"/>
                <w:szCs w:val="24"/>
              </w:rPr>
              <w:t>I - transferência de função, quando as condições de saúde o exigirem, assegurada a retomada da função anteriormente exercida, logo após o retorno ao trabalho;      </w:t>
            </w:r>
            <w:hyperlink r:id="rId26" w:anchor="art392" w:history="1">
              <w:r w:rsidRPr="00372DED">
                <w:rPr>
                  <w:rStyle w:val="Hyperlink"/>
                  <w:rFonts w:ascii="Calibri" w:eastAsiaTheme="majorEastAsia" w:hAnsi="Calibri" w:cs="Calibri"/>
                  <w:sz w:val="24"/>
                  <w:szCs w:val="24"/>
                </w:rPr>
                <w:t>(Incluído pela Lei nº 9.799, de 26.5.1999)</w:t>
              </w:r>
            </w:hyperlink>
          </w:p>
          <w:p w14:paraId="0A29CF68" w14:textId="77777777" w:rsidR="00681D97" w:rsidRPr="00372DED" w:rsidRDefault="00681D97" w:rsidP="00E14A9F">
            <w:pPr>
              <w:spacing w:after="160"/>
              <w:jc w:val="both"/>
              <w:rPr>
                <w:rFonts w:ascii="Calibri" w:hAnsi="Calibri" w:cs="Calibri"/>
                <w:sz w:val="24"/>
                <w:szCs w:val="24"/>
              </w:rPr>
            </w:pPr>
            <w:r w:rsidRPr="00372DED">
              <w:rPr>
                <w:rFonts w:ascii="Calibri" w:hAnsi="Calibri" w:cs="Calibri"/>
                <w:sz w:val="24"/>
                <w:szCs w:val="24"/>
              </w:rPr>
              <w:t xml:space="preserve">II - </w:t>
            </w:r>
            <w:proofErr w:type="gramStart"/>
            <w:r w:rsidRPr="00372DED">
              <w:rPr>
                <w:rFonts w:ascii="Calibri" w:hAnsi="Calibri" w:cs="Calibri"/>
                <w:sz w:val="24"/>
                <w:szCs w:val="24"/>
              </w:rPr>
              <w:t>dispensa</w:t>
            </w:r>
            <w:proofErr w:type="gramEnd"/>
            <w:r w:rsidRPr="00372DED">
              <w:rPr>
                <w:rFonts w:ascii="Calibri" w:hAnsi="Calibri" w:cs="Calibri"/>
                <w:sz w:val="24"/>
                <w:szCs w:val="24"/>
              </w:rPr>
              <w:t xml:space="preserve"> do horário de trabalho pelo tempo necessário para a realização de, no mínimo, seis consultas médicas e demais exames complementares.      </w:t>
            </w:r>
            <w:hyperlink r:id="rId27" w:anchor="art392" w:history="1">
              <w:r w:rsidRPr="00372DED">
                <w:rPr>
                  <w:rStyle w:val="Hyperlink"/>
                  <w:rFonts w:ascii="Calibri" w:eastAsiaTheme="majorEastAsia" w:hAnsi="Calibri" w:cs="Calibri"/>
                  <w:sz w:val="24"/>
                  <w:szCs w:val="24"/>
                </w:rPr>
                <w:t>(Incluído pela Lei nº 9.799, de 26.5.1999)</w:t>
              </w:r>
            </w:hyperlink>
          </w:p>
          <w:p w14:paraId="01068E65" w14:textId="77777777" w:rsidR="00681D97" w:rsidRPr="00DF0C74" w:rsidRDefault="00681D97" w:rsidP="00E14A9F">
            <w:pPr>
              <w:jc w:val="both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</w:tr>
      <w:tr w:rsidR="00681D97" w:rsidRPr="00DF0C74" w14:paraId="0986FF80" w14:textId="77777777" w:rsidTr="002E42CF">
        <w:tc>
          <w:tcPr>
            <w:tcW w:w="4247" w:type="dxa"/>
          </w:tcPr>
          <w:p w14:paraId="2B76F03D" w14:textId="77777777" w:rsidR="00681D97" w:rsidRPr="00372DED" w:rsidRDefault="00681D97" w:rsidP="00E14A9F">
            <w:pPr>
              <w:spacing w:after="160"/>
              <w:jc w:val="both"/>
              <w:rPr>
                <w:rFonts w:ascii="Calibri" w:hAnsi="Calibri" w:cs="Calibri"/>
                <w:sz w:val="24"/>
                <w:szCs w:val="24"/>
              </w:rPr>
            </w:pPr>
            <w:r w:rsidRPr="00372DED">
              <w:rPr>
                <w:rFonts w:ascii="Calibri" w:hAnsi="Calibri" w:cs="Calibri"/>
                <w:sz w:val="24"/>
                <w:szCs w:val="24"/>
              </w:rPr>
              <w:lastRenderedPageBreak/>
              <w:t>§ 5</w:t>
            </w:r>
            <w:r w:rsidRPr="00372DED">
              <w:rPr>
                <w:rFonts w:ascii="Calibri" w:hAnsi="Calibri" w:cs="Calibri"/>
                <w:sz w:val="24"/>
                <w:szCs w:val="24"/>
                <w:u w:val="single"/>
                <w:vertAlign w:val="superscript"/>
              </w:rPr>
              <w:t>o</w:t>
            </w:r>
            <w:r w:rsidRPr="00372DED">
              <w:rPr>
                <w:rFonts w:ascii="Calibri" w:hAnsi="Calibri" w:cs="Calibri"/>
                <w:sz w:val="24"/>
                <w:szCs w:val="24"/>
              </w:rPr>
              <w:t> </w:t>
            </w:r>
            <w:hyperlink r:id="rId28" w:history="1">
              <w:r w:rsidRPr="00372DED">
                <w:rPr>
                  <w:rStyle w:val="Hyperlink"/>
                  <w:rFonts w:ascii="Calibri" w:eastAsiaTheme="majorEastAsia" w:hAnsi="Calibri" w:cs="Calibri"/>
                  <w:sz w:val="24"/>
                  <w:szCs w:val="24"/>
                </w:rPr>
                <w:t>(VETADO)</w:t>
              </w:r>
            </w:hyperlink>
            <w:r w:rsidRPr="00372DED">
              <w:rPr>
                <w:rFonts w:ascii="Calibri" w:hAnsi="Calibri" w:cs="Calibri"/>
                <w:sz w:val="24"/>
                <w:szCs w:val="24"/>
              </w:rPr>
              <w:t>      </w:t>
            </w:r>
            <w:hyperlink r:id="rId29" w:anchor="art1" w:history="1">
              <w:r w:rsidRPr="00372DED">
                <w:rPr>
                  <w:rStyle w:val="Hyperlink"/>
                  <w:rFonts w:ascii="Calibri" w:eastAsiaTheme="majorEastAsia" w:hAnsi="Calibri" w:cs="Calibri"/>
                  <w:sz w:val="24"/>
                  <w:szCs w:val="24"/>
                </w:rPr>
                <w:t>(incluído pela Lei nº 10.421, de 2002)</w:t>
              </w:r>
            </w:hyperlink>
          </w:p>
          <w:p w14:paraId="0CEB1593" w14:textId="77777777" w:rsidR="00681D97" w:rsidRPr="00DF0C74" w:rsidRDefault="00681D97" w:rsidP="00E14A9F">
            <w:pPr>
              <w:jc w:val="both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247" w:type="dxa"/>
          </w:tcPr>
          <w:p w14:paraId="31A771D5" w14:textId="77777777" w:rsidR="00681D97" w:rsidRPr="00372DED" w:rsidRDefault="00681D97" w:rsidP="00E14A9F">
            <w:pPr>
              <w:spacing w:after="160"/>
              <w:jc w:val="both"/>
              <w:rPr>
                <w:rFonts w:ascii="Calibri" w:hAnsi="Calibri" w:cs="Calibri"/>
                <w:sz w:val="24"/>
                <w:szCs w:val="24"/>
              </w:rPr>
            </w:pPr>
            <w:r w:rsidRPr="00372DED">
              <w:rPr>
                <w:rFonts w:ascii="Calibri" w:hAnsi="Calibri" w:cs="Calibri"/>
                <w:sz w:val="24"/>
                <w:szCs w:val="24"/>
              </w:rPr>
              <w:t>§ 5</w:t>
            </w:r>
            <w:r w:rsidRPr="00372DED">
              <w:rPr>
                <w:rFonts w:ascii="Calibri" w:hAnsi="Calibri" w:cs="Calibri"/>
                <w:sz w:val="24"/>
                <w:szCs w:val="24"/>
                <w:u w:val="single"/>
                <w:vertAlign w:val="superscript"/>
              </w:rPr>
              <w:t>o</w:t>
            </w:r>
            <w:r w:rsidRPr="00372DED">
              <w:rPr>
                <w:rFonts w:ascii="Calibri" w:hAnsi="Calibri" w:cs="Calibri"/>
                <w:sz w:val="24"/>
                <w:szCs w:val="24"/>
              </w:rPr>
              <w:t> </w:t>
            </w:r>
            <w:hyperlink r:id="rId30" w:history="1">
              <w:r w:rsidRPr="00372DED">
                <w:rPr>
                  <w:rStyle w:val="Hyperlink"/>
                  <w:rFonts w:ascii="Calibri" w:eastAsiaTheme="majorEastAsia" w:hAnsi="Calibri" w:cs="Calibri"/>
                  <w:sz w:val="24"/>
                  <w:szCs w:val="24"/>
                </w:rPr>
                <w:t>(VETADO)</w:t>
              </w:r>
            </w:hyperlink>
            <w:r w:rsidRPr="00372DED">
              <w:rPr>
                <w:rFonts w:ascii="Calibri" w:hAnsi="Calibri" w:cs="Calibri"/>
                <w:sz w:val="24"/>
                <w:szCs w:val="24"/>
              </w:rPr>
              <w:t>      </w:t>
            </w:r>
            <w:hyperlink r:id="rId31" w:anchor="art1" w:history="1">
              <w:r w:rsidRPr="00372DED">
                <w:rPr>
                  <w:rStyle w:val="Hyperlink"/>
                  <w:rFonts w:ascii="Calibri" w:eastAsiaTheme="majorEastAsia" w:hAnsi="Calibri" w:cs="Calibri"/>
                  <w:sz w:val="24"/>
                  <w:szCs w:val="24"/>
                </w:rPr>
                <w:t>(incluído pela Lei nº 10.421, de 2002)</w:t>
              </w:r>
            </w:hyperlink>
          </w:p>
          <w:p w14:paraId="7FC6D284" w14:textId="77777777" w:rsidR="00681D97" w:rsidRPr="00DF0C74" w:rsidRDefault="00681D97" w:rsidP="00E14A9F">
            <w:pPr>
              <w:jc w:val="both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</w:tr>
      <w:tr w:rsidR="00681D97" w:rsidRPr="00DF0C74" w14:paraId="01B7BF13" w14:textId="77777777" w:rsidTr="002E42CF">
        <w:tc>
          <w:tcPr>
            <w:tcW w:w="4247" w:type="dxa"/>
          </w:tcPr>
          <w:p w14:paraId="1B049A8F" w14:textId="77777777" w:rsidR="00681D97" w:rsidRPr="00372DED" w:rsidRDefault="00681D97" w:rsidP="00E14A9F">
            <w:pPr>
              <w:spacing w:after="160"/>
              <w:jc w:val="both"/>
              <w:rPr>
                <w:rFonts w:ascii="Calibri" w:hAnsi="Calibri" w:cs="Calibri"/>
                <w:sz w:val="24"/>
                <w:szCs w:val="24"/>
              </w:rPr>
            </w:pPr>
            <w:r w:rsidRPr="00372DED">
              <w:rPr>
                <w:rFonts w:ascii="Calibri" w:hAnsi="Calibri" w:cs="Calibri"/>
                <w:sz w:val="24"/>
                <w:szCs w:val="24"/>
              </w:rPr>
              <w:t>§ 6º A licença-maternidade de que trata o </w:t>
            </w:r>
            <w:r w:rsidRPr="00372DED">
              <w:rPr>
                <w:rFonts w:ascii="Calibri" w:hAnsi="Calibri" w:cs="Calibri"/>
                <w:i/>
                <w:iCs/>
                <w:sz w:val="24"/>
                <w:szCs w:val="24"/>
              </w:rPr>
              <w:t>caput</w:t>
            </w:r>
            <w:r w:rsidRPr="00372DED">
              <w:rPr>
                <w:rFonts w:ascii="Calibri" w:hAnsi="Calibri" w:cs="Calibri"/>
                <w:sz w:val="24"/>
                <w:szCs w:val="24"/>
              </w:rPr>
              <w:t> deste artigo será prorrogada por 60 (sessenta) dias em razão de nascimento ou de adoção de criança com deficiência permanente decorrente de síndrome congênita associada à infecção pelo vírus Zika.   </w:t>
            </w:r>
            <w:hyperlink r:id="rId32" w:anchor="art5" w:history="1">
              <w:r w:rsidRPr="00372DED">
                <w:rPr>
                  <w:rStyle w:val="Hyperlink"/>
                  <w:rFonts w:ascii="Calibri" w:eastAsiaTheme="majorEastAsia" w:hAnsi="Calibri" w:cs="Calibri"/>
                  <w:sz w:val="24"/>
                  <w:szCs w:val="24"/>
                </w:rPr>
                <w:t>(Incluído pela Lei nº 15.156, de 2025)</w:t>
              </w:r>
            </w:hyperlink>
          </w:p>
          <w:p w14:paraId="1AAA1740" w14:textId="77777777" w:rsidR="00681D97" w:rsidRPr="00DF0C74" w:rsidRDefault="00681D97" w:rsidP="00E14A9F">
            <w:pPr>
              <w:jc w:val="both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247" w:type="dxa"/>
          </w:tcPr>
          <w:p w14:paraId="0A4AA7AD" w14:textId="77777777" w:rsidR="00681D97" w:rsidRPr="00372DED" w:rsidRDefault="00681D97" w:rsidP="00E14A9F">
            <w:pPr>
              <w:spacing w:after="160"/>
              <w:jc w:val="both"/>
              <w:rPr>
                <w:rFonts w:ascii="Calibri" w:hAnsi="Calibri" w:cs="Calibri"/>
                <w:sz w:val="24"/>
                <w:szCs w:val="24"/>
              </w:rPr>
            </w:pPr>
            <w:r w:rsidRPr="00372DED">
              <w:rPr>
                <w:rFonts w:ascii="Calibri" w:hAnsi="Calibri" w:cs="Calibri"/>
                <w:sz w:val="24"/>
                <w:szCs w:val="24"/>
              </w:rPr>
              <w:t>§ 6º A licença-maternidade de que trata o </w:t>
            </w:r>
            <w:r w:rsidRPr="00372DED">
              <w:rPr>
                <w:rFonts w:ascii="Calibri" w:hAnsi="Calibri" w:cs="Calibri"/>
                <w:i/>
                <w:iCs/>
                <w:sz w:val="24"/>
                <w:szCs w:val="24"/>
              </w:rPr>
              <w:t>caput</w:t>
            </w:r>
            <w:r w:rsidRPr="00372DED">
              <w:rPr>
                <w:rFonts w:ascii="Calibri" w:hAnsi="Calibri" w:cs="Calibri"/>
                <w:sz w:val="24"/>
                <w:szCs w:val="24"/>
              </w:rPr>
              <w:t> deste artigo será prorrogada por 60 (sessenta) dias em razão de nascimento ou de adoção de criança com deficiência permanente decorrente de síndrome congênita associada à infecção pelo vírus Zika.   </w:t>
            </w:r>
            <w:hyperlink r:id="rId33" w:anchor="art5" w:history="1">
              <w:r w:rsidRPr="00372DED">
                <w:rPr>
                  <w:rStyle w:val="Hyperlink"/>
                  <w:rFonts w:ascii="Calibri" w:eastAsiaTheme="majorEastAsia" w:hAnsi="Calibri" w:cs="Calibri"/>
                  <w:sz w:val="24"/>
                  <w:szCs w:val="24"/>
                </w:rPr>
                <w:t>(Incluído pela Lei nº 15.156, de 2025)</w:t>
              </w:r>
            </w:hyperlink>
          </w:p>
          <w:p w14:paraId="6D0F5EE1" w14:textId="77777777" w:rsidR="00681D97" w:rsidRPr="00DF0C74" w:rsidRDefault="00681D97" w:rsidP="00E14A9F">
            <w:pPr>
              <w:jc w:val="both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</w:tr>
      <w:tr w:rsidR="00681D97" w:rsidRPr="00DF0C74" w14:paraId="2C406A75" w14:textId="77777777" w:rsidTr="002E42CF">
        <w:tc>
          <w:tcPr>
            <w:tcW w:w="4247" w:type="dxa"/>
          </w:tcPr>
          <w:p w14:paraId="0129ED95" w14:textId="77777777" w:rsidR="00681D97" w:rsidRPr="00DF0C74" w:rsidRDefault="00681D97" w:rsidP="00E14A9F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247" w:type="dxa"/>
          </w:tcPr>
          <w:p w14:paraId="408C3104" w14:textId="77777777" w:rsidR="00681D97" w:rsidRPr="00372DED" w:rsidRDefault="00681D97" w:rsidP="00E14A9F">
            <w:pPr>
              <w:spacing w:after="160"/>
              <w:jc w:val="both"/>
              <w:rPr>
                <w:rFonts w:ascii="Calibri" w:hAnsi="Calibri" w:cs="Calibri"/>
                <w:i/>
                <w:iCs/>
                <w:sz w:val="24"/>
                <w:szCs w:val="24"/>
              </w:rPr>
            </w:pPr>
            <w:r w:rsidRPr="00372DED">
              <w:rPr>
                <w:rFonts w:ascii="Calibri" w:hAnsi="Calibri" w:cs="Calibri"/>
                <w:i/>
                <w:iCs/>
                <w:sz w:val="24"/>
                <w:szCs w:val="24"/>
                <w:highlight w:val="lightGray"/>
              </w:rPr>
              <w:t>§ 7º Em caso de internação hospitalar que supere o prazo de 2 (duas) semanas previsto no § 2º deste artigo, desde que comprovado o nexo com o parto, a licença-maternidade poderá se estender em até 120 (cento e vinte) dias após a alta da mãe e do recém-nascido, descontado o tempo de repouso anterior ao parto.       </w:t>
            </w:r>
            <w:hyperlink r:id="rId34" w:anchor="art1" w:history="1">
              <w:r w:rsidRPr="00372DED">
                <w:rPr>
                  <w:rStyle w:val="Hyperlink"/>
                  <w:rFonts w:ascii="Calibri" w:eastAsiaTheme="majorEastAsia" w:hAnsi="Calibri" w:cs="Calibri"/>
                  <w:i/>
                  <w:iCs/>
                  <w:sz w:val="24"/>
                  <w:szCs w:val="24"/>
                  <w:highlight w:val="lightGray"/>
                </w:rPr>
                <w:t>(incluído pela Lei nº 15.222, de 2025)</w:t>
              </w:r>
            </w:hyperlink>
          </w:p>
          <w:p w14:paraId="5D4146A7" w14:textId="77777777" w:rsidR="00681D97" w:rsidRPr="00DF0C74" w:rsidRDefault="00681D97" w:rsidP="00E14A9F">
            <w:pPr>
              <w:jc w:val="both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</w:tr>
    </w:tbl>
    <w:p w14:paraId="3E40D2A9" w14:textId="77777777" w:rsidR="00681D97" w:rsidRPr="00DF0C74" w:rsidRDefault="00681D97" w:rsidP="00681D97">
      <w:pPr>
        <w:spacing w:line="360" w:lineRule="auto"/>
        <w:jc w:val="both"/>
        <w:rPr>
          <w:rFonts w:ascii="Calibri" w:hAnsi="Calibri" w:cs="Calibri"/>
          <w:sz w:val="24"/>
          <w:szCs w:val="24"/>
        </w:rPr>
      </w:pPr>
    </w:p>
    <w:p w14:paraId="57DE7429" w14:textId="77777777" w:rsidR="00681D97" w:rsidRPr="00DF0C74" w:rsidRDefault="00681D97" w:rsidP="00681D97">
      <w:pPr>
        <w:spacing w:line="360" w:lineRule="auto"/>
        <w:jc w:val="both"/>
        <w:rPr>
          <w:rFonts w:ascii="Calibri" w:hAnsi="Calibri" w:cs="Calibri"/>
          <w:sz w:val="24"/>
          <w:szCs w:val="24"/>
        </w:rPr>
      </w:pPr>
      <w:r w:rsidRPr="00DF0C74">
        <w:rPr>
          <w:rFonts w:ascii="Calibri" w:hAnsi="Calibri" w:cs="Calibri"/>
          <w:color w:val="000000"/>
          <w:sz w:val="24"/>
          <w:szCs w:val="24"/>
        </w:rPr>
        <w:lastRenderedPageBreak/>
        <w:t>Não obstante, a inclusão do § 6º (editada pela Lei nº 15.156/2025) prorrogou recentemente a licença-maternidade por sessenta dias em caso de nascimento ou adoção de criança com deficiência permanente decorrente de síndrome congênita relacionada ao Zika Vírus.</w:t>
      </w:r>
    </w:p>
    <w:p w14:paraId="0C1B2FC6" w14:textId="77777777" w:rsidR="00681D97" w:rsidRPr="00DF0C74" w:rsidRDefault="00681D97" w:rsidP="00681D97">
      <w:pPr>
        <w:spacing w:line="360" w:lineRule="auto"/>
        <w:jc w:val="both"/>
        <w:rPr>
          <w:rFonts w:ascii="Calibri" w:hAnsi="Calibri" w:cs="Calibri"/>
          <w:sz w:val="24"/>
          <w:szCs w:val="24"/>
        </w:rPr>
      </w:pPr>
    </w:p>
    <w:p w14:paraId="0A048178" w14:textId="77777777" w:rsidR="00681D97" w:rsidRPr="00DF0C74" w:rsidRDefault="00681D97" w:rsidP="00681D97">
      <w:pPr>
        <w:spacing w:line="360" w:lineRule="auto"/>
        <w:jc w:val="center"/>
        <w:rPr>
          <w:rFonts w:ascii="Calibri" w:hAnsi="Calibri" w:cs="Calibri"/>
          <w:sz w:val="24"/>
          <w:szCs w:val="24"/>
        </w:rPr>
      </w:pPr>
      <w:r w:rsidRPr="00DF0C74">
        <w:rPr>
          <w:rFonts w:ascii="Calibri" w:hAnsi="Calibri" w:cs="Calibri"/>
          <w:b/>
          <w:bCs/>
          <w:color w:val="000000"/>
          <w:sz w:val="24"/>
          <w:szCs w:val="24"/>
        </w:rPr>
        <w:t>Quadro comparativo</w:t>
      </w:r>
      <w:r>
        <w:rPr>
          <w:rFonts w:ascii="Calibri" w:hAnsi="Calibri" w:cs="Calibri"/>
          <w:b/>
          <w:bCs/>
          <w:color w:val="000000"/>
          <w:sz w:val="24"/>
          <w:szCs w:val="24"/>
        </w:rPr>
        <w:t xml:space="preserve"> Lei nº 8.213/1991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4247"/>
        <w:gridCol w:w="4247"/>
      </w:tblGrid>
      <w:tr w:rsidR="00681D97" w14:paraId="4447B063" w14:textId="77777777" w:rsidTr="002E42CF">
        <w:tc>
          <w:tcPr>
            <w:tcW w:w="4247" w:type="dxa"/>
          </w:tcPr>
          <w:p w14:paraId="69E79775" w14:textId="77777777" w:rsidR="00681D97" w:rsidRPr="00DF0C74" w:rsidRDefault="00681D97" w:rsidP="00E14A9F">
            <w:pPr>
              <w:jc w:val="both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DF0C74">
              <w:rPr>
                <w:rFonts w:ascii="Calibri" w:hAnsi="Calibri" w:cs="Calibri"/>
                <w:b/>
                <w:bCs/>
                <w:sz w:val="24"/>
                <w:szCs w:val="24"/>
              </w:rPr>
              <w:t>COMO ERA</w:t>
            </w:r>
          </w:p>
        </w:tc>
        <w:tc>
          <w:tcPr>
            <w:tcW w:w="4247" w:type="dxa"/>
          </w:tcPr>
          <w:p w14:paraId="74AA4C8D" w14:textId="77777777" w:rsidR="00681D97" w:rsidRPr="00DF0C74" w:rsidRDefault="00681D97" w:rsidP="00E14A9F">
            <w:pPr>
              <w:jc w:val="both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DF0C74">
              <w:rPr>
                <w:rFonts w:ascii="Calibri" w:hAnsi="Calibri" w:cs="Calibri"/>
                <w:b/>
                <w:bCs/>
                <w:sz w:val="24"/>
                <w:szCs w:val="24"/>
              </w:rPr>
              <w:t>COMO FICOU</w:t>
            </w:r>
          </w:p>
        </w:tc>
      </w:tr>
      <w:tr w:rsidR="00681D97" w14:paraId="0117BC91" w14:textId="77777777" w:rsidTr="002E42CF">
        <w:tc>
          <w:tcPr>
            <w:tcW w:w="4247" w:type="dxa"/>
          </w:tcPr>
          <w:p w14:paraId="0D46A6DA" w14:textId="77777777" w:rsidR="00681D97" w:rsidRPr="00DF0C74" w:rsidRDefault="00681D97" w:rsidP="00E14A9F">
            <w:pPr>
              <w:spacing w:after="160"/>
              <w:jc w:val="both"/>
              <w:rPr>
                <w:rFonts w:ascii="Calibri" w:hAnsi="Calibri" w:cs="Calibri"/>
                <w:sz w:val="24"/>
                <w:szCs w:val="24"/>
              </w:rPr>
            </w:pPr>
            <w:r w:rsidRPr="00DF0C74">
              <w:rPr>
                <w:rFonts w:ascii="Calibri" w:hAnsi="Calibri" w:cs="Calibri"/>
                <w:sz w:val="24"/>
                <w:szCs w:val="24"/>
              </w:rPr>
              <w:t>Art. 71. O salário-maternidade é devido à segurada da Previdência Social, durante 120 (cento e vinte) dias, com início no período entre 28 (vinte e oito) dias antes do parto e a data de ocorrência deste, observadas as situações e condições previstas na legislação no que concerne à proteção à maternidade.            </w:t>
            </w:r>
            <w:hyperlink r:id="rId35" w:anchor="art71" w:history="1">
              <w:r w:rsidRPr="00DF0C74">
                <w:rPr>
                  <w:rStyle w:val="Hyperlink"/>
                  <w:rFonts w:ascii="Calibri" w:eastAsiaTheme="majorEastAsia" w:hAnsi="Calibri" w:cs="Calibri"/>
                  <w:sz w:val="24"/>
                  <w:szCs w:val="24"/>
                </w:rPr>
                <w:t>(Redação dada pala Lei nº 10.710, de .2003)</w:t>
              </w:r>
            </w:hyperlink>
            <w:r w:rsidRPr="00DF0C74">
              <w:rPr>
                <w:rFonts w:ascii="Calibri" w:hAnsi="Calibri" w:cs="Calibri"/>
                <w:sz w:val="24"/>
                <w:szCs w:val="24"/>
              </w:rPr>
              <w:t>        </w:t>
            </w:r>
            <w:hyperlink r:id="rId36" w:anchor="art5ii" w:history="1">
              <w:r w:rsidRPr="00DF0C74">
                <w:rPr>
                  <w:rStyle w:val="Hyperlink"/>
                  <w:rFonts w:ascii="Calibri" w:eastAsiaTheme="majorEastAsia" w:hAnsi="Calibri" w:cs="Calibri"/>
                  <w:sz w:val="24"/>
                  <w:szCs w:val="24"/>
                </w:rPr>
                <w:t>(Vide Lei nº 13.985, de 2020) </w:t>
              </w:r>
            </w:hyperlink>
            <w:r w:rsidRPr="00DF0C74">
              <w:rPr>
                <w:rFonts w:ascii="Calibri" w:hAnsi="Calibri" w:cs="Calibri"/>
                <w:sz w:val="24"/>
                <w:szCs w:val="24"/>
              </w:rPr>
              <w:t>    </w:t>
            </w:r>
            <w:hyperlink r:id="rId37" w:history="1">
              <w:r w:rsidRPr="00DF0C74">
                <w:rPr>
                  <w:rStyle w:val="Hyperlink"/>
                  <w:rFonts w:ascii="Calibri" w:eastAsiaTheme="majorEastAsia" w:hAnsi="Calibri" w:cs="Calibri"/>
                  <w:sz w:val="24"/>
                  <w:szCs w:val="24"/>
                </w:rPr>
                <w:t>(Vide ADI 6327)</w:t>
              </w:r>
            </w:hyperlink>
          </w:p>
          <w:p w14:paraId="6A7BA759" w14:textId="77777777" w:rsidR="00681D97" w:rsidRDefault="00681D97" w:rsidP="00E14A9F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247" w:type="dxa"/>
          </w:tcPr>
          <w:p w14:paraId="24CFFD57" w14:textId="77777777" w:rsidR="00681D97" w:rsidRPr="00DF0C74" w:rsidRDefault="00681D97" w:rsidP="00E14A9F">
            <w:pPr>
              <w:spacing w:after="160"/>
              <w:jc w:val="both"/>
              <w:rPr>
                <w:rFonts w:ascii="Calibri" w:hAnsi="Calibri" w:cs="Calibri"/>
                <w:sz w:val="24"/>
                <w:szCs w:val="24"/>
              </w:rPr>
            </w:pPr>
            <w:r w:rsidRPr="00DF0C74">
              <w:rPr>
                <w:rFonts w:ascii="Calibri" w:hAnsi="Calibri" w:cs="Calibri"/>
                <w:sz w:val="24"/>
                <w:szCs w:val="24"/>
              </w:rPr>
              <w:t>Art. 71. O salário-maternidade é devido à segurada da Previdência Social, durante 120 (cento e vinte) dias, com início no período entre 28 (vinte e oito) dias antes do parto e a data de ocorrência deste, observadas as situações e condições previstas na legislação no que concerne à proteção à maternidade.            </w:t>
            </w:r>
            <w:hyperlink r:id="rId38" w:anchor="art71" w:history="1">
              <w:r w:rsidRPr="00DF0C74">
                <w:rPr>
                  <w:rStyle w:val="Hyperlink"/>
                  <w:rFonts w:ascii="Calibri" w:eastAsiaTheme="majorEastAsia" w:hAnsi="Calibri" w:cs="Calibri"/>
                  <w:sz w:val="24"/>
                  <w:szCs w:val="24"/>
                </w:rPr>
                <w:t>(Redação dada pala Lei nº 10.710, de .2003)</w:t>
              </w:r>
            </w:hyperlink>
            <w:r w:rsidRPr="00DF0C74">
              <w:rPr>
                <w:rFonts w:ascii="Calibri" w:hAnsi="Calibri" w:cs="Calibri"/>
                <w:sz w:val="24"/>
                <w:szCs w:val="24"/>
              </w:rPr>
              <w:t>        </w:t>
            </w:r>
            <w:hyperlink r:id="rId39" w:anchor="art5ii" w:history="1">
              <w:r w:rsidRPr="00DF0C74">
                <w:rPr>
                  <w:rStyle w:val="Hyperlink"/>
                  <w:rFonts w:ascii="Calibri" w:eastAsiaTheme="majorEastAsia" w:hAnsi="Calibri" w:cs="Calibri"/>
                  <w:sz w:val="24"/>
                  <w:szCs w:val="24"/>
                </w:rPr>
                <w:t>(Vide Lei nº 13.985, de 2020) </w:t>
              </w:r>
            </w:hyperlink>
            <w:r w:rsidRPr="00DF0C74">
              <w:rPr>
                <w:rFonts w:ascii="Calibri" w:hAnsi="Calibri" w:cs="Calibri"/>
                <w:sz w:val="24"/>
                <w:szCs w:val="24"/>
              </w:rPr>
              <w:t>    </w:t>
            </w:r>
            <w:hyperlink r:id="rId40" w:history="1">
              <w:r w:rsidRPr="00DF0C74">
                <w:rPr>
                  <w:rStyle w:val="Hyperlink"/>
                  <w:rFonts w:ascii="Calibri" w:eastAsiaTheme="majorEastAsia" w:hAnsi="Calibri" w:cs="Calibri"/>
                  <w:sz w:val="24"/>
                  <w:szCs w:val="24"/>
                </w:rPr>
                <w:t>(Vide ADI 6327)</w:t>
              </w:r>
            </w:hyperlink>
          </w:p>
          <w:p w14:paraId="5A36BDAF" w14:textId="77777777" w:rsidR="00681D97" w:rsidRDefault="00681D97" w:rsidP="00E14A9F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681D97" w14:paraId="52BE8427" w14:textId="77777777" w:rsidTr="002E42CF">
        <w:tc>
          <w:tcPr>
            <w:tcW w:w="4247" w:type="dxa"/>
          </w:tcPr>
          <w:p w14:paraId="06A9BFED" w14:textId="77777777" w:rsidR="00681D97" w:rsidRPr="00DF0C74" w:rsidRDefault="00681D97" w:rsidP="00E14A9F">
            <w:pPr>
              <w:spacing w:after="160"/>
              <w:jc w:val="both"/>
              <w:rPr>
                <w:rFonts w:ascii="Calibri" w:hAnsi="Calibri" w:cs="Calibri"/>
                <w:strike/>
                <w:sz w:val="24"/>
                <w:szCs w:val="24"/>
              </w:rPr>
            </w:pPr>
            <w:r w:rsidRPr="00DF0C74">
              <w:rPr>
                <w:rFonts w:ascii="Calibri" w:hAnsi="Calibri" w:cs="Calibri"/>
                <w:strike/>
                <w:sz w:val="24"/>
                <w:szCs w:val="24"/>
              </w:rPr>
              <w:t>Parágrafo único. A segurada especial e a empregada doméstica podem requerer o salário-maternidade até 90 (noventa) dias após o parto.              </w:t>
            </w:r>
            <w:hyperlink r:id="rId41" w:anchor="art71p" w:history="1">
              <w:r w:rsidRPr="00DF0C74">
                <w:rPr>
                  <w:rStyle w:val="Hyperlink"/>
                  <w:rFonts w:ascii="Calibri" w:eastAsiaTheme="majorEastAsia" w:hAnsi="Calibri" w:cs="Calibri"/>
                  <w:strike/>
                  <w:sz w:val="24"/>
                  <w:szCs w:val="24"/>
                </w:rPr>
                <w:t>(Incluído pela Lei nº 8.861, de 1994)</w:t>
              </w:r>
            </w:hyperlink>
            <w:r w:rsidRPr="00DF0C74">
              <w:rPr>
                <w:rFonts w:ascii="Calibri" w:hAnsi="Calibri" w:cs="Calibri"/>
                <w:strike/>
                <w:sz w:val="24"/>
                <w:szCs w:val="24"/>
              </w:rPr>
              <w:t>    </w:t>
            </w:r>
            <w:hyperlink r:id="rId42" w:anchor="art15" w:history="1">
              <w:r w:rsidRPr="00DF0C74">
                <w:rPr>
                  <w:rStyle w:val="Hyperlink"/>
                  <w:rFonts w:ascii="Calibri" w:eastAsiaTheme="majorEastAsia" w:hAnsi="Calibri" w:cs="Calibri"/>
                  <w:strike/>
                  <w:sz w:val="24"/>
                  <w:szCs w:val="24"/>
                </w:rPr>
                <w:t>(Revogado pela Lei nº 9.528, de 1997)</w:t>
              </w:r>
            </w:hyperlink>
          </w:p>
          <w:p w14:paraId="393491E2" w14:textId="77777777" w:rsidR="00681D97" w:rsidRDefault="00681D97" w:rsidP="00E14A9F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247" w:type="dxa"/>
          </w:tcPr>
          <w:p w14:paraId="30CD6593" w14:textId="77777777" w:rsidR="00681D97" w:rsidRDefault="00681D97" w:rsidP="00E14A9F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681D97" w14:paraId="528027E2" w14:textId="77777777" w:rsidTr="002E42CF">
        <w:tc>
          <w:tcPr>
            <w:tcW w:w="4247" w:type="dxa"/>
          </w:tcPr>
          <w:p w14:paraId="71E0BE81" w14:textId="77777777" w:rsidR="00681D97" w:rsidRPr="00DF0C74" w:rsidRDefault="00681D97" w:rsidP="00E14A9F">
            <w:pPr>
              <w:spacing w:after="160"/>
              <w:jc w:val="both"/>
              <w:rPr>
                <w:rFonts w:ascii="Calibri" w:hAnsi="Calibri" w:cs="Calibri"/>
                <w:sz w:val="24"/>
                <w:szCs w:val="24"/>
              </w:rPr>
            </w:pPr>
            <w:r w:rsidRPr="00DF0C74">
              <w:rPr>
                <w:rFonts w:ascii="Calibri" w:hAnsi="Calibri" w:cs="Calibri"/>
                <w:sz w:val="24"/>
                <w:szCs w:val="24"/>
              </w:rPr>
              <w:t>§ 2º O salário-maternidade de que trata o </w:t>
            </w:r>
            <w:r w:rsidRPr="00DF0C74">
              <w:rPr>
                <w:rFonts w:ascii="Calibri" w:hAnsi="Calibri" w:cs="Calibri"/>
                <w:i/>
                <w:iCs/>
                <w:sz w:val="24"/>
                <w:szCs w:val="24"/>
              </w:rPr>
              <w:t>caput</w:t>
            </w:r>
            <w:r w:rsidRPr="00DF0C74">
              <w:rPr>
                <w:rFonts w:ascii="Calibri" w:hAnsi="Calibri" w:cs="Calibri"/>
                <w:sz w:val="24"/>
                <w:szCs w:val="24"/>
              </w:rPr>
              <w:t> deste artigo será prorrogado por 60 (sessenta) dias em razão de nascimento de criança com deficiência permanente decorrente de síndrome congênita associada Zika.   </w:t>
            </w:r>
            <w:hyperlink r:id="rId43" w:anchor="art6" w:history="1">
              <w:r w:rsidRPr="00DF0C74">
                <w:rPr>
                  <w:rStyle w:val="Hyperlink"/>
                  <w:rFonts w:ascii="Calibri" w:eastAsiaTheme="majorEastAsia" w:hAnsi="Calibri" w:cs="Calibri"/>
                  <w:sz w:val="24"/>
                  <w:szCs w:val="24"/>
                </w:rPr>
                <w:t>(Incluído pela Lei nº 15.156, de 2025)</w:t>
              </w:r>
            </w:hyperlink>
          </w:p>
          <w:p w14:paraId="55F9621C" w14:textId="77777777" w:rsidR="00681D97" w:rsidRDefault="00681D97" w:rsidP="00E14A9F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247" w:type="dxa"/>
          </w:tcPr>
          <w:p w14:paraId="5B35A0C4" w14:textId="77777777" w:rsidR="00681D97" w:rsidRPr="00DF0C74" w:rsidRDefault="00681D97" w:rsidP="00E14A9F">
            <w:pPr>
              <w:spacing w:after="160"/>
              <w:jc w:val="both"/>
              <w:rPr>
                <w:rFonts w:ascii="Calibri" w:hAnsi="Calibri" w:cs="Calibri"/>
                <w:sz w:val="24"/>
                <w:szCs w:val="24"/>
              </w:rPr>
            </w:pPr>
            <w:r w:rsidRPr="00DF0C74">
              <w:rPr>
                <w:rFonts w:ascii="Calibri" w:hAnsi="Calibri" w:cs="Calibri"/>
                <w:sz w:val="24"/>
                <w:szCs w:val="24"/>
              </w:rPr>
              <w:t>§ 2º O salário-maternidade de que trata o </w:t>
            </w:r>
            <w:r w:rsidRPr="00DF0C74">
              <w:rPr>
                <w:rFonts w:ascii="Calibri" w:hAnsi="Calibri" w:cs="Calibri"/>
                <w:i/>
                <w:iCs/>
                <w:sz w:val="24"/>
                <w:szCs w:val="24"/>
              </w:rPr>
              <w:t>caput</w:t>
            </w:r>
            <w:r w:rsidRPr="00DF0C74">
              <w:rPr>
                <w:rFonts w:ascii="Calibri" w:hAnsi="Calibri" w:cs="Calibri"/>
                <w:sz w:val="24"/>
                <w:szCs w:val="24"/>
              </w:rPr>
              <w:t> deste artigo será prorrogado por 60 (sessenta) dias em razão de nascimento de criança com deficiência permanente decorrente de síndrome congênita associada Zika.   </w:t>
            </w:r>
            <w:hyperlink r:id="rId44" w:anchor="art6" w:history="1">
              <w:r w:rsidRPr="00DF0C74">
                <w:rPr>
                  <w:rStyle w:val="Hyperlink"/>
                  <w:rFonts w:ascii="Calibri" w:eastAsiaTheme="majorEastAsia" w:hAnsi="Calibri" w:cs="Calibri"/>
                  <w:sz w:val="24"/>
                  <w:szCs w:val="24"/>
                </w:rPr>
                <w:t>(Incluído pela Lei nº 15.156, de 2025)</w:t>
              </w:r>
            </w:hyperlink>
          </w:p>
          <w:p w14:paraId="33655BD1" w14:textId="77777777" w:rsidR="00681D97" w:rsidRDefault="00681D97" w:rsidP="00E14A9F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681D97" w14:paraId="26D523BA" w14:textId="77777777" w:rsidTr="002E42CF">
        <w:tc>
          <w:tcPr>
            <w:tcW w:w="4247" w:type="dxa"/>
          </w:tcPr>
          <w:p w14:paraId="1986E378" w14:textId="77777777" w:rsidR="00681D97" w:rsidRDefault="00681D97" w:rsidP="00E14A9F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247" w:type="dxa"/>
          </w:tcPr>
          <w:p w14:paraId="66D12851" w14:textId="77777777" w:rsidR="00681D97" w:rsidRPr="00DF0C74" w:rsidRDefault="00681D97" w:rsidP="00E14A9F">
            <w:pPr>
              <w:spacing w:after="160"/>
              <w:jc w:val="both"/>
              <w:rPr>
                <w:rFonts w:ascii="Calibri" w:hAnsi="Calibri" w:cs="Calibri"/>
                <w:i/>
                <w:iCs/>
                <w:sz w:val="24"/>
                <w:szCs w:val="24"/>
                <w:highlight w:val="lightGray"/>
              </w:rPr>
            </w:pPr>
            <w:r w:rsidRPr="00DF0C74">
              <w:rPr>
                <w:rFonts w:ascii="Calibri" w:hAnsi="Calibri" w:cs="Calibri"/>
                <w:i/>
                <w:iCs/>
                <w:sz w:val="24"/>
                <w:szCs w:val="24"/>
                <w:highlight w:val="lightGray"/>
              </w:rPr>
              <w:t xml:space="preserve">§ 3º Na hipótese de internação hospitalar da segurada ou do recém-nascido que supere o prazo de 2 (duas) semanas, em </w:t>
            </w:r>
            <w:r w:rsidRPr="00DF0C74">
              <w:rPr>
                <w:rFonts w:ascii="Calibri" w:hAnsi="Calibri" w:cs="Calibri"/>
                <w:i/>
                <w:iCs/>
                <w:sz w:val="24"/>
                <w:szCs w:val="24"/>
                <w:highlight w:val="lightGray"/>
              </w:rPr>
              <w:lastRenderedPageBreak/>
              <w:t>decorrência de complicações médicas relacionadas ao parto, o salário-maternidade será devido durante o período de internação e por mais 120 (cento e vinte) dias após a alta, descontado o tempo de recebimento do benefício anterior ao parto.   </w:t>
            </w:r>
            <w:hyperlink r:id="rId45" w:anchor="art2" w:history="1">
              <w:r w:rsidRPr="00DF0C74">
                <w:rPr>
                  <w:rStyle w:val="Hyperlink"/>
                  <w:rFonts w:ascii="Calibri" w:eastAsiaTheme="majorEastAsia" w:hAnsi="Calibri" w:cs="Calibri"/>
                  <w:i/>
                  <w:iCs/>
                  <w:sz w:val="24"/>
                  <w:szCs w:val="24"/>
                  <w:highlight w:val="lightGray"/>
                </w:rPr>
                <w:t>(Incluído pela Lei nº 15.222, de 2025)</w:t>
              </w:r>
            </w:hyperlink>
          </w:p>
          <w:p w14:paraId="01048E56" w14:textId="77777777" w:rsidR="00681D97" w:rsidRPr="00A97FCD" w:rsidRDefault="00681D97" w:rsidP="00E14A9F">
            <w:pPr>
              <w:jc w:val="both"/>
              <w:rPr>
                <w:rFonts w:ascii="Calibri" w:hAnsi="Calibri" w:cs="Calibri"/>
                <w:sz w:val="24"/>
                <w:szCs w:val="24"/>
                <w:highlight w:val="lightGray"/>
              </w:rPr>
            </w:pPr>
          </w:p>
        </w:tc>
      </w:tr>
    </w:tbl>
    <w:p w14:paraId="59C87009" w14:textId="77777777" w:rsidR="00681D97" w:rsidRPr="00DF0C74" w:rsidRDefault="00681D97" w:rsidP="00681D97">
      <w:pPr>
        <w:spacing w:line="360" w:lineRule="auto"/>
        <w:jc w:val="both"/>
        <w:rPr>
          <w:rFonts w:ascii="Calibri" w:hAnsi="Calibri" w:cs="Calibri"/>
          <w:sz w:val="24"/>
          <w:szCs w:val="24"/>
        </w:rPr>
      </w:pPr>
    </w:p>
    <w:p w14:paraId="797EE9F6" w14:textId="77777777" w:rsidR="00681D97" w:rsidRPr="007104B0" w:rsidRDefault="00681D97" w:rsidP="00247667">
      <w:pPr>
        <w:spacing w:before="240" w:line="360" w:lineRule="auto"/>
        <w:jc w:val="both"/>
        <w:rPr>
          <w:rFonts w:ascii="Calibri" w:hAnsi="Calibri" w:cs="Calibri"/>
          <w:color w:val="000000"/>
          <w:sz w:val="24"/>
        </w:rPr>
      </w:pPr>
      <w:bookmarkStart w:id="0" w:name="art71§3"/>
      <w:bookmarkEnd w:id="0"/>
      <w:r w:rsidRPr="007104B0">
        <w:rPr>
          <w:rFonts w:ascii="Calibri" w:hAnsi="Calibri" w:cs="Calibri"/>
          <w:color w:val="000000"/>
          <w:sz w:val="24"/>
        </w:rPr>
        <w:t>A nova regra assegura o salário-maternidade em casos de internação hospitalar por mais de duas semanas, tanto para a segurada quanto para o recém-nascido, durante o período de internação e até cento e vinte dias após a alta, deduzindo o benefício já recebido antes do parto.</w:t>
      </w:r>
    </w:p>
    <w:p w14:paraId="14E27F0D" w14:textId="77777777" w:rsidR="00681D97" w:rsidRPr="007104B0" w:rsidRDefault="00681D97" w:rsidP="00247667">
      <w:pPr>
        <w:spacing w:before="240" w:line="360" w:lineRule="auto"/>
        <w:jc w:val="both"/>
        <w:rPr>
          <w:rFonts w:ascii="Calibri" w:hAnsi="Calibri" w:cs="Calibri"/>
        </w:rPr>
      </w:pPr>
      <w:r w:rsidRPr="007104B0">
        <w:rPr>
          <w:rFonts w:ascii="Calibri" w:hAnsi="Calibri" w:cs="Calibri"/>
          <w:color w:val="000000"/>
          <w:sz w:val="24"/>
        </w:rPr>
        <w:t xml:space="preserve">Destaca-se, ainda, o disposto no § 2º, que, a partir de julho de 2025, conforme a Lei nº 15.156, prevê a prorrogação do salário-maternidade por sessenta dias, nos casos de nascimento de criança com deficiência permanente decorrente de síndrome congênita associada ao vírus Zika. </w:t>
      </w:r>
      <w:r w:rsidRPr="007104B0">
        <w:rPr>
          <w:rFonts w:ascii="Calibri" w:hAnsi="Calibri" w:cs="Calibri"/>
        </w:rPr>
        <w:t xml:space="preserve"> </w:t>
      </w:r>
    </w:p>
    <w:p w14:paraId="726565E5" w14:textId="77777777" w:rsidR="00B4439F" w:rsidRPr="004A1C48" w:rsidRDefault="00B4439F" w:rsidP="00247667">
      <w:pPr>
        <w:shd w:val="clear" w:color="auto" w:fill="FFFFFF"/>
        <w:spacing w:before="240" w:after="150" w:line="360" w:lineRule="auto"/>
        <w:jc w:val="both"/>
        <w:rPr>
          <w:rFonts w:ascii="Calibri" w:hAnsi="Calibri" w:cs="Calibri"/>
          <w:sz w:val="24"/>
          <w:szCs w:val="24"/>
        </w:rPr>
      </w:pPr>
    </w:p>
    <w:p w14:paraId="3702E59F" w14:textId="77777777" w:rsidR="00B4439F" w:rsidRPr="009607F3" w:rsidRDefault="00B4439F" w:rsidP="00B4439F">
      <w:pPr>
        <w:spacing w:line="360" w:lineRule="auto"/>
        <w:jc w:val="both"/>
        <w:rPr>
          <w:rFonts w:ascii="Calibri" w:hAnsi="Calibri" w:cs="Calibri"/>
          <w:b/>
          <w:bCs/>
          <w:sz w:val="24"/>
          <w:szCs w:val="24"/>
        </w:rPr>
      </w:pPr>
      <w:r w:rsidRPr="009607F3">
        <w:rPr>
          <w:rFonts w:ascii="Calibri" w:hAnsi="Calibri" w:cs="Calibri"/>
          <w:b/>
          <w:bCs/>
          <w:sz w:val="24"/>
          <w:szCs w:val="24"/>
        </w:rPr>
        <w:t>Atenciosamente,</w:t>
      </w:r>
    </w:p>
    <w:p w14:paraId="052FE01A" w14:textId="77777777" w:rsidR="00B4439F" w:rsidRPr="009607F3" w:rsidRDefault="00B4439F" w:rsidP="00B4439F">
      <w:pPr>
        <w:spacing w:line="360" w:lineRule="auto"/>
        <w:jc w:val="both"/>
        <w:rPr>
          <w:rFonts w:ascii="Calibri" w:hAnsi="Calibri" w:cs="Calibri"/>
          <w:b/>
          <w:bCs/>
          <w:sz w:val="24"/>
          <w:szCs w:val="24"/>
        </w:rPr>
      </w:pPr>
      <w:r w:rsidRPr="009607F3">
        <w:rPr>
          <w:rFonts w:ascii="Calibri" w:hAnsi="Calibri" w:cs="Calibri"/>
          <w:b/>
          <w:bCs/>
          <w:sz w:val="24"/>
          <w:szCs w:val="24"/>
        </w:rPr>
        <w:t>Assessoria Técnica.</w:t>
      </w:r>
    </w:p>
    <w:p w14:paraId="18B50909" w14:textId="77777777" w:rsidR="00B4439F" w:rsidRPr="00F7330F" w:rsidRDefault="00B4439F" w:rsidP="00B4439F">
      <w:pPr>
        <w:spacing w:line="360" w:lineRule="auto"/>
        <w:jc w:val="both"/>
        <w:rPr>
          <w:rFonts w:ascii="Calibri" w:hAnsi="Calibri" w:cs="Calibri"/>
          <w:b/>
          <w:bCs/>
          <w:sz w:val="24"/>
          <w:szCs w:val="24"/>
        </w:rPr>
      </w:pPr>
    </w:p>
    <w:p w14:paraId="74284B99" w14:textId="77777777" w:rsidR="00B4439F" w:rsidRPr="00F12741" w:rsidRDefault="00B4439F" w:rsidP="00B4439F">
      <w:pPr>
        <w:pStyle w:val="has-text-align-justify"/>
        <w:shd w:val="clear" w:color="auto" w:fill="FFFFFF"/>
        <w:spacing w:before="0" w:beforeAutospacing="0" w:after="0" w:afterAutospacing="0"/>
        <w:jc w:val="both"/>
        <w:textAlignment w:val="baseline"/>
        <w:rPr>
          <w:rFonts w:ascii="Arial" w:hAnsi="Arial" w:cs="Arial"/>
        </w:rPr>
      </w:pPr>
    </w:p>
    <w:p w14:paraId="188A12FA" w14:textId="77777777" w:rsidR="00B4439F" w:rsidRDefault="00B4439F" w:rsidP="00971B48">
      <w:pPr>
        <w:tabs>
          <w:tab w:val="left" w:pos="709"/>
        </w:tabs>
        <w:spacing w:line="360" w:lineRule="auto"/>
        <w:ind w:left="709"/>
        <w:rPr>
          <w:rFonts w:ascii="Calibri" w:hAnsi="Calibri" w:cs="Arial"/>
          <w:b/>
          <w:sz w:val="24"/>
          <w:szCs w:val="24"/>
          <w:u w:val="single"/>
        </w:rPr>
      </w:pPr>
    </w:p>
    <w:p w14:paraId="12AC7D5A" w14:textId="77777777" w:rsidR="00B4439F" w:rsidRDefault="00B4439F" w:rsidP="00971B48">
      <w:pPr>
        <w:tabs>
          <w:tab w:val="left" w:pos="709"/>
        </w:tabs>
        <w:spacing w:line="360" w:lineRule="auto"/>
        <w:ind w:left="709"/>
        <w:rPr>
          <w:rFonts w:ascii="Calibri" w:hAnsi="Calibri" w:cs="Arial"/>
          <w:b/>
          <w:sz w:val="24"/>
          <w:szCs w:val="24"/>
          <w:u w:val="single"/>
        </w:rPr>
      </w:pPr>
    </w:p>
    <w:p w14:paraId="1A31CCE2" w14:textId="77777777" w:rsidR="00B4439F" w:rsidRDefault="00B4439F" w:rsidP="00971B48">
      <w:pPr>
        <w:tabs>
          <w:tab w:val="left" w:pos="709"/>
        </w:tabs>
        <w:spacing w:line="360" w:lineRule="auto"/>
        <w:ind w:left="709"/>
        <w:rPr>
          <w:rFonts w:ascii="Calibri" w:hAnsi="Calibri" w:cs="Arial"/>
          <w:b/>
          <w:sz w:val="24"/>
          <w:szCs w:val="24"/>
          <w:u w:val="single"/>
        </w:rPr>
      </w:pPr>
    </w:p>
    <w:p w14:paraId="71E92327" w14:textId="77777777" w:rsidR="00B4439F" w:rsidRDefault="00B4439F" w:rsidP="00971B48">
      <w:pPr>
        <w:tabs>
          <w:tab w:val="left" w:pos="709"/>
        </w:tabs>
        <w:spacing w:line="360" w:lineRule="auto"/>
        <w:ind w:left="709"/>
        <w:rPr>
          <w:rFonts w:ascii="Calibri" w:hAnsi="Calibri" w:cs="Arial"/>
          <w:b/>
          <w:sz w:val="24"/>
          <w:szCs w:val="24"/>
          <w:u w:val="single"/>
        </w:rPr>
      </w:pPr>
    </w:p>
    <w:p w14:paraId="675A531A" w14:textId="77777777" w:rsidR="00B4439F" w:rsidRDefault="00B4439F" w:rsidP="00971B48">
      <w:pPr>
        <w:tabs>
          <w:tab w:val="left" w:pos="709"/>
        </w:tabs>
        <w:spacing w:line="360" w:lineRule="auto"/>
        <w:ind w:left="709"/>
        <w:rPr>
          <w:rFonts w:ascii="Calibri" w:hAnsi="Calibri" w:cs="Arial"/>
          <w:b/>
          <w:sz w:val="24"/>
          <w:szCs w:val="24"/>
          <w:u w:val="single"/>
        </w:rPr>
      </w:pPr>
    </w:p>
    <w:p w14:paraId="34706E5E" w14:textId="77777777" w:rsidR="00B4439F" w:rsidRDefault="00B4439F" w:rsidP="00971B48">
      <w:pPr>
        <w:tabs>
          <w:tab w:val="left" w:pos="709"/>
        </w:tabs>
        <w:spacing w:line="360" w:lineRule="auto"/>
        <w:ind w:left="709"/>
        <w:rPr>
          <w:rFonts w:ascii="Calibri" w:hAnsi="Calibri" w:cs="Arial"/>
          <w:b/>
          <w:sz w:val="24"/>
          <w:szCs w:val="24"/>
          <w:u w:val="single"/>
        </w:rPr>
      </w:pPr>
    </w:p>
    <w:p w14:paraId="391B72FF" w14:textId="77777777" w:rsidR="00B44E1D" w:rsidRPr="00B44E1D" w:rsidRDefault="00B44E1D" w:rsidP="008F2746">
      <w:pPr>
        <w:tabs>
          <w:tab w:val="left" w:pos="709"/>
        </w:tabs>
        <w:spacing w:line="360" w:lineRule="auto"/>
        <w:rPr>
          <w:rFonts w:ascii="Calibri" w:hAnsi="Calibri" w:cs="Arial"/>
          <w:i/>
          <w:color w:val="548DD4"/>
          <w:sz w:val="24"/>
          <w:szCs w:val="24"/>
        </w:rPr>
      </w:pPr>
      <w:r w:rsidRPr="00B44E1D">
        <w:rPr>
          <w:rFonts w:ascii="Calibri" w:hAnsi="Calibri" w:cs="Arial"/>
          <w:color w:val="548DD4"/>
          <w:sz w:val="24"/>
          <w:szCs w:val="24"/>
        </w:rPr>
        <w:lastRenderedPageBreak/>
        <w:t xml:space="preserve"> </w:t>
      </w:r>
    </w:p>
    <w:sectPr w:rsidR="00B44E1D" w:rsidRPr="00B44E1D">
      <w:headerReference w:type="even" r:id="rId46"/>
      <w:headerReference w:type="default" r:id="rId47"/>
      <w:footerReference w:type="even" r:id="rId48"/>
      <w:footerReference w:type="default" r:id="rId49"/>
      <w:headerReference w:type="first" r:id="rId50"/>
      <w:footerReference w:type="first" r:id="rId51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92C055" w14:textId="77777777" w:rsidR="00B57EBB" w:rsidRDefault="00B57EBB" w:rsidP="005B64EB">
      <w:r>
        <w:separator/>
      </w:r>
    </w:p>
  </w:endnote>
  <w:endnote w:type="continuationSeparator" w:id="0">
    <w:p w14:paraId="0C91DD7E" w14:textId="77777777" w:rsidR="00B57EBB" w:rsidRDefault="00B57EBB" w:rsidP="005B64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5CD297" w14:textId="77777777" w:rsidR="00164ED3" w:rsidRDefault="00164ED3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569257446"/>
      <w:docPartObj>
        <w:docPartGallery w:val="Page Numbers (Bottom of Page)"/>
        <w:docPartUnique/>
      </w:docPartObj>
    </w:sdtPr>
    <w:sdtEndPr/>
    <w:sdtContent>
      <w:p w14:paraId="6D636B91" w14:textId="77777777" w:rsidR="0025495C" w:rsidRDefault="0025495C">
        <w:pPr>
          <w:pStyle w:val="Rodap"/>
          <w:jc w:val="right"/>
        </w:pPr>
      </w:p>
      <w:tbl>
        <w:tblPr>
          <w:tblW w:w="10065" w:type="dxa"/>
          <w:jc w:val="center"/>
          <w:tblBorders>
            <w:bottom w:val="single" w:sz="4" w:space="0" w:color="auto"/>
          </w:tblBorders>
          <w:tblLayout w:type="fixed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>
        <w:tblGrid>
          <w:gridCol w:w="2730"/>
          <w:gridCol w:w="5032"/>
          <w:gridCol w:w="2303"/>
        </w:tblGrid>
        <w:tr w:rsidR="0025495C" w:rsidRPr="00ED268A" w14:paraId="4D054177" w14:textId="77777777" w:rsidTr="009172C5">
          <w:trPr>
            <w:trHeight w:val="274"/>
            <w:jc w:val="center"/>
          </w:trPr>
          <w:tc>
            <w:tcPr>
              <w:tcW w:w="2730" w:type="dxa"/>
              <w:vAlign w:val="center"/>
            </w:tcPr>
            <w:p w14:paraId="1A228919" w14:textId="5EEC8690" w:rsidR="0025495C" w:rsidRPr="00ED268A" w:rsidRDefault="003F35A6" w:rsidP="00D25F88">
              <w:pPr>
                <w:pStyle w:val="Rodap"/>
                <w:rPr>
                  <w:rFonts w:ascii="Verdana" w:hAnsi="Verdana"/>
                  <w:sz w:val="16"/>
                  <w:szCs w:val="16"/>
                </w:rPr>
              </w:pPr>
              <w:r>
                <w:rPr>
                  <w:rFonts w:ascii="Verdana" w:hAnsi="Verdana"/>
                  <w:sz w:val="16"/>
                  <w:szCs w:val="16"/>
                </w:rPr>
                <w:t>Elaboração:</w:t>
              </w:r>
              <w:r w:rsidR="009C6145">
                <w:rPr>
                  <w:rFonts w:ascii="Verdana" w:hAnsi="Verdana"/>
                  <w:sz w:val="16"/>
                  <w:szCs w:val="16"/>
                </w:rPr>
                <w:t xml:space="preserve"> PTM</w:t>
              </w:r>
              <w:r>
                <w:rPr>
                  <w:rFonts w:ascii="Verdana" w:hAnsi="Verdana"/>
                  <w:sz w:val="16"/>
                  <w:szCs w:val="16"/>
                </w:rPr>
                <w:t xml:space="preserve"> </w:t>
              </w:r>
              <w:r w:rsidRPr="00971B48">
                <w:rPr>
                  <w:rFonts w:ascii="Verdana" w:hAnsi="Verdana"/>
                  <w:color w:val="FF0000"/>
                  <w:sz w:val="16"/>
                  <w:szCs w:val="16"/>
                </w:rPr>
                <w:t xml:space="preserve"> </w:t>
              </w:r>
            </w:p>
          </w:tc>
          <w:tc>
            <w:tcPr>
              <w:tcW w:w="5032" w:type="dxa"/>
              <w:vAlign w:val="center"/>
            </w:tcPr>
            <w:p w14:paraId="39F23B74" w14:textId="77777777" w:rsidR="0025495C" w:rsidRPr="0044569E" w:rsidRDefault="0025495C" w:rsidP="009172C5">
              <w:pPr>
                <w:pStyle w:val="Rodap"/>
                <w:jc w:val="center"/>
                <w:rPr>
                  <w:rFonts w:ascii="Verdana" w:hAnsi="Verdana"/>
                  <w:color w:val="FF0000"/>
                  <w:sz w:val="16"/>
                  <w:szCs w:val="16"/>
                </w:rPr>
              </w:pPr>
              <w:r w:rsidRPr="0044569E">
                <w:rPr>
                  <w:rFonts w:ascii="Verdana" w:hAnsi="Verdana"/>
                  <w:color w:val="FF0000"/>
                  <w:sz w:val="16"/>
                  <w:szCs w:val="16"/>
                </w:rPr>
                <w:t xml:space="preserve">Cópia </w:t>
              </w:r>
              <w:r>
                <w:rPr>
                  <w:rFonts w:ascii="Verdana" w:hAnsi="Verdana"/>
                  <w:color w:val="FF0000"/>
                  <w:sz w:val="16"/>
                  <w:szCs w:val="16"/>
                </w:rPr>
                <w:t>C</w:t>
              </w:r>
              <w:r w:rsidRPr="0044569E">
                <w:rPr>
                  <w:rFonts w:ascii="Verdana" w:hAnsi="Verdana"/>
                  <w:color w:val="FF0000"/>
                  <w:sz w:val="16"/>
                  <w:szCs w:val="16"/>
                </w:rPr>
                <w:t xml:space="preserve">ontrolada </w:t>
              </w:r>
              <w:r>
                <w:rPr>
                  <w:rFonts w:ascii="Verdana" w:hAnsi="Verdana"/>
                  <w:color w:val="FF0000"/>
                  <w:sz w:val="16"/>
                  <w:szCs w:val="16"/>
                </w:rPr>
                <w:t>- P</w:t>
              </w:r>
              <w:r w:rsidRPr="0044569E">
                <w:rPr>
                  <w:rFonts w:ascii="Verdana" w:hAnsi="Verdana"/>
                  <w:color w:val="FF0000"/>
                  <w:sz w:val="16"/>
                  <w:szCs w:val="16"/>
                </w:rPr>
                <w:t xml:space="preserve">roibida a </w:t>
              </w:r>
              <w:r>
                <w:rPr>
                  <w:rFonts w:ascii="Verdana" w:hAnsi="Verdana"/>
                  <w:color w:val="FF0000"/>
                  <w:sz w:val="16"/>
                  <w:szCs w:val="16"/>
                </w:rPr>
                <w:t>R</w:t>
              </w:r>
              <w:r w:rsidRPr="0044569E">
                <w:rPr>
                  <w:rFonts w:ascii="Verdana" w:hAnsi="Verdana"/>
                  <w:color w:val="FF0000"/>
                  <w:sz w:val="16"/>
                  <w:szCs w:val="16"/>
                </w:rPr>
                <w:t>eprodução</w:t>
              </w:r>
            </w:p>
          </w:tc>
          <w:tc>
            <w:tcPr>
              <w:tcW w:w="2303" w:type="dxa"/>
              <w:vAlign w:val="center"/>
            </w:tcPr>
            <w:p w14:paraId="1CDFB3E6" w14:textId="77777777" w:rsidR="0025495C" w:rsidRPr="00ED268A" w:rsidRDefault="0025495C" w:rsidP="009172C5">
              <w:pPr>
                <w:pStyle w:val="Rodap"/>
                <w:jc w:val="right"/>
                <w:rPr>
                  <w:rFonts w:ascii="Verdana" w:hAnsi="Verdana"/>
                  <w:sz w:val="16"/>
                  <w:szCs w:val="16"/>
                </w:rPr>
              </w:pPr>
            </w:p>
          </w:tc>
        </w:tr>
      </w:tbl>
      <w:p w14:paraId="5DAD53EF" w14:textId="77777777" w:rsidR="0025495C" w:rsidRDefault="0025495C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D0A32">
          <w:rPr>
            <w:noProof/>
          </w:rPr>
          <w:t>2</w:t>
        </w:r>
        <w:r>
          <w:fldChar w:fldCharType="end"/>
        </w:r>
      </w:p>
    </w:sdtContent>
  </w:sdt>
  <w:p w14:paraId="5D79F2A1" w14:textId="77777777" w:rsidR="0046324B" w:rsidRPr="0046324B" w:rsidRDefault="0046324B" w:rsidP="0046324B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190424" w14:textId="77777777" w:rsidR="00164ED3" w:rsidRDefault="00164ED3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C4C089" w14:textId="77777777" w:rsidR="00B57EBB" w:rsidRDefault="00B57EBB" w:rsidP="005B64EB">
      <w:r>
        <w:separator/>
      </w:r>
    </w:p>
  </w:footnote>
  <w:footnote w:type="continuationSeparator" w:id="0">
    <w:p w14:paraId="222ADA48" w14:textId="77777777" w:rsidR="00B57EBB" w:rsidRDefault="00B57EBB" w:rsidP="005B64E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1A62F6" w14:textId="77777777" w:rsidR="00164ED3" w:rsidRDefault="00164ED3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915" w:type="dxa"/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tblBorders>
      <w:tblLayout w:type="fixed"/>
      <w:tblLook w:val="0000" w:firstRow="0" w:lastRow="0" w:firstColumn="0" w:lastColumn="0" w:noHBand="0" w:noVBand="0"/>
    </w:tblPr>
    <w:tblGrid>
      <w:gridCol w:w="2457"/>
      <w:gridCol w:w="4820"/>
      <w:gridCol w:w="1229"/>
      <w:gridCol w:w="2409"/>
    </w:tblGrid>
    <w:tr w:rsidR="005B64EB" w:rsidRPr="009E2832" w14:paraId="34E93CF5" w14:textId="77777777" w:rsidTr="0025495C">
      <w:trPr>
        <w:cantSplit/>
        <w:trHeight w:val="567"/>
        <w:jc w:val="center"/>
      </w:trPr>
      <w:tc>
        <w:tcPr>
          <w:tcW w:w="2457" w:type="dxa"/>
          <w:tcBorders>
            <w:right w:val="single" w:sz="4" w:space="0" w:color="auto"/>
          </w:tcBorders>
          <w:vAlign w:val="center"/>
        </w:tcPr>
        <w:p w14:paraId="08F778BD" w14:textId="51C9A59A" w:rsidR="005B64EB" w:rsidRPr="009E2832" w:rsidRDefault="003377F7" w:rsidP="008B7EE0">
          <w:pPr>
            <w:ind w:left="743" w:hanging="743"/>
            <w:jc w:val="center"/>
            <w:rPr>
              <w:rFonts w:cs="Arial"/>
              <w:sz w:val="16"/>
              <w:szCs w:val="16"/>
            </w:rPr>
          </w:pPr>
          <w:r>
            <w:object w:dxaOrig="17533" w:dyaOrig="6706" w14:anchorId="26C0CFAA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1025" type="#_x0000_t75" style="width:111.6pt;height:42.6pt">
                <v:imagedata r:id="rId1" o:title=""/>
              </v:shape>
              <o:OLEObject Type="Embed" ProgID="PBrush" ShapeID="_x0000_i1025" DrawAspect="Content" ObjectID="_1820901779" r:id="rId2"/>
            </w:object>
          </w:r>
        </w:p>
      </w:tc>
      <w:tc>
        <w:tcPr>
          <w:tcW w:w="4820" w:type="dxa"/>
          <w:tcBorders>
            <w:left w:val="single" w:sz="4" w:space="0" w:color="auto"/>
            <w:right w:val="single" w:sz="4" w:space="0" w:color="auto"/>
          </w:tcBorders>
          <w:vAlign w:val="center"/>
        </w:tcPr>
        <w:p w14:paraId="18DFAAF4" w14:textId="2C8F89ED" w:rsidR="005B64EB" w:rsidRPr="00791E4E" w:rsidRDefault="00EF0475" w:rsidP="00811884">
          <w:pPr>
            <w:pStyle w:val="Ttulo"/>
            <w:spacing w:line="276" w:lineRule="auto"/>
            <w:jc w:val="center"/>
            <w:rPr>
              <w:rFonts w:asciiTheme="minorHAnsi" w:hAnsiTheme="minorHAnsi"/>
              <w:b/>
              <w:sz w:val="22"/>
              <w:szCs w:val="22"/>
              <w:u w:val="single"/>
            </w:rPr>
          </w:pPr>
          <w:proofErr w:type="gramStart"/>
          <w:r>
            <w:rPr>
              <w:rFonts w:ascii="Calibri" w:hAnsi="Calibri" w:cs="Calibri"/>
              <w:b/>
              <w:bCs/>
              <w:sz w:val="24"/>
              <w:szCs w:val="24"/>
              <w:u w:val="single"/>
            </w:rPr>
            <w:t>ANEXO  I</w:t>
          </w:r>
          <w:proofErr w:type="gramEnd"/>
          <w:r>
            <w:rPr>
              <w:rFonts w:ascii="Calibri" w:hAnsi="Calibri" w:cs="Calibri"/>
              <w:b/>
              <w:bCs/>
              <w:sz w:val="24"/>
              <w:szCs w:val="24"/>
              <w:u w:val="single"/>
            </w:rPr>
            <w:t xml:space="preserve">  - TABELAS COMPARATIVAS DA</w:t>
          </w:r>
          <w:r w:rsidR="004779BF">
            <w:rPr>
              <w:rFonts w:ascii="Calibri" w:hAnsi="Calibri" w:cs="Calibri"/>
              <w:b/>
              <w:bCs/>
              <w:sz w:val="24"/>
              <w:szCs w:val="24"/>
              <w:u w:val="single"/>
            </w:rPr>
            <w:t xml:space="preserve"> NOVA LEI 15.222/25 COM A</w:t>
          </w:r>
          <w:r>
            <w:rPr>
              <w:rFonts w:ascii="Calibri" w:hAnsi="Calibri" w:cs="Calibri"/>
              <w:b/>
              <w:bCs/>
              <w:sz w:val="24"/>
              <w:szCs w:val="24"/>
              <w:u w:val="single"/>
            </w:rPr>
            <w:t xml:space="preserve"> CLT E LEI </w:t>
          </w:r>
          <w:r w:rsidR="004779BF">
            <w:rPr>
              <w:rFonts w:ascii="Calibri" w:hAnsi="Calibri" w:cs="Calibri"/>
              <w:b/>
              <w:bCs/>
              <w:sz w:val="24"/>
              <w:szCs w:val="24"/>
              <w:u w:val="single"/>
            </w:rPr>
            <w:t xml:space="preserve">8.213/91 </w:t>
          </w:r>
        </w:p>
      </w:tc>
      <w:tc>
        <w:tcPr>
          <w:tcW w:w="1229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14:paraId="57AE0045" w14:textId="53EFC3C7" w:rsidR="005B64EB" w:rsidRPr="00791E4E" w:rsidRDefault="005B64EB" w:rsidP="000518C3">
          <w:pPr>
            <w:rPr>
              <w:rFonts w:asciiTheme="minorHAnsi" w:hAnsiTheme="minorHAnsi" w:cs="Arial"/>
            </w:rPr>
          </w:pPr>
          <w:r w:rsidRPr="00791E4E">
            <w:rPr>
              <w:rFonts w:asciiTheme="minorHAnsi" w:hAnsiTheme="minorHAnsi" w:cs="Arial"/>
            </w:rPr>
            <w:t>N</w:t>
          </w:r>
          <w:r w:rsidR="0025495C" w:rsidRPr="00791E4E">
            <w:rPr>
              <w:rFonts w:asciiTheme="minorHAnsi" w:hAnsiTheme="minorHAnsi" w:cs="Arial"/>
            </w:rPr>
            <w:t>º</w:t>
          </w:r>
          <w:r w:rsidR="004D471D" w:rsidRPr="00791E4E">
            <w:rPr>
              <w:rFonts w:asciiTheme="minorHAnsi" w:hAnsiTheme="minorHAnsi" w:cs="Arial"/>
            </w:rPr>
            <w:t xml:space="preserve"> </w:t>
          </w:r>
          <w:r w:rsidR="00164ED3">
            <w:rPr>
              <w:rFonts w:asciiTheme="minorHAnsi" w:hAnsiTheme="minorHAnsi" w:cs="Arial"/>
              <w:color w:val="FF0000"/>
            </w:rPr>
            <w:t>296</w:t>
          </w:r>
        </w:p>
      </w:tc>
      <w:tc>
        <w:tcPr>
          <w:tcW w:w="2409" w:type="dxa"/>
          <w:tcBorders>
            <w:top w:val="single" w:sz="4" w:space="0" w:color="auto"/>
            <w:left w:val="single" w:sz="4" w:space="0" w:color="auto"/>
            <w:bottom w:val="single" w:sz="4" w:space="0" w:color="auto"/>
          </w:tcBorders>
          <w:vAlign w:val="center"/>
        </w:tcPr>
        <w:p w14:paraId="494D48A8" w14:textId="53E35717" w:rsidR="005B64EB" w:rsidRPr="00791E4E" w:rsidRDefault="0025495C" w:rsidP="003F35A6">
          <w:pPr>
            <w:ind w:left="34"/>
            <w:rPr>
              <w:rFonts w:asciiTheme="minorHAnsi" w:hAnsiTheme="minorHAnsi" w:cs="Arial"/>
              <w:sz w:val="22"/>
            </w:rPr>
          </w:pPr>
          <w:r w:rsidRPr="00791E4E">
            <w:rPr>
              <w:rFonts w:asciiTheme="minorHAnsi" w:hAnsiTheme="minorHAnsi" w:cs="Arial"/>
            </w:rPr>
            <w:t>Data</w:t>
          </w:r>
          <w:r w:rsidRPr="001B7FA6">
            <w:rPr>
              <w:rFonts w:asciiTheme="minorHAnsi" w:hAnsiTheme="minorHAnsi" w:cs="Arial"/>
            </w:rPr>
            <w:t>:</w:t>
          </w:r>
          <w:r w:rsidR="00033BC9" w:rsidRPr="001B7FA6">
            <w:rPr>
              <w:rFonts w:asciiTheme="minorHAnsi" w:hAnsiTheme="minorHAnsi" w:cs="Arial"/>
            </w:rPr>
            <w:t xml:space="preserve"> </w:t>
          </w:r>
          <w:r w:rsidR="006E6834">
            <w:rPr>
              <w:rFonts w:asciiTheme="minorHAnsi" w:hAnsiTheme="minorHAnsi" w:cs="Arial"/>
            </w:rPr>
            <w:t>01</w:t>
          </w:r>
          <w:r w:rsidR="00EA0E2A" w:rsidRPr="001B7FA6">
            <w:rPr>
              <w:rFonts w:asciiTheme="minorHAnsi" w:hAnsiTheme="minorHAnsi" w:cs="Arial"/>
            </w:rPr>
            <w:t>/</w:t>
          </w:r>
          <w:r w:rsidR="006E6834">
            <w:rPr>
              <w:rFonts w:asciiTheme="minorHAnsi" w:hAnsiTheme="minorHAnsi" w:cs="Arial"/>
            </w:rPr>
            <w:t>10</w:t>
          </w:r>
          <w:r w:rsidR="00EA0E2A" w:rsidRPr="001B7FA6">
            <w:rPr>
              <w:rFonts w:asciiTheme="minorHAnsi" w:hAnsiTheme="minorHAnsi" w:cs="Arial"/>
            </w:rPr>
            <w:t>/2025</w:t>
          </w:r>
        </w:p>
      </w:tc>
    </w:tr>
    <w:tr w:rsidR="00E578BC" w:rsidRPr="009E2832" w14:paraId="0D314427" w14:textId="77777777" w:rsidTr="00E578BC">
      <w:trPr>
        <w:cantSplit/>
        <w:trHeight w:val="719"/>
        <w:jc w:val="center"/>
      </w:trPr>
      <w:tc>
        <w:tcPr>
          <w:tcW w:w="10915" w:type="dxa"/>
          <w:gridSpan w:val="4"/>
          <w:tcBorders>
            <w:top w:val="single" w:sz="4" w:space="0" w:color="auto"/>
            <w:bottom w:val="single" w:sz="4" w:space="0" w:color="auto"/>
          </w:tcBorders>
          <w:vAlign w:val="center"/>
        </w:tcPr>
        <w:p w14:paraId="72D45A5E" w14:textId="77777777" w:rsidR="00770DE7" w:rsidRDefault="00E578BC" w:rsidP="00770DE7">
          <w:pPr>
            <w:spacing w:line="360" w:lineRule="auto"/>
            <w:jc w:val="center"/>
            <w:rPr>
              <w:rFonts w:cs="Arial"/>
              <w:b/>
              <w:sz w:val="16"/>
              <w:szCs w:val="14"/>
            </w:rPr>
          </w:pPr>
          <w:proofErr w:type="gramStart"/>
          <w:r w:rsidRPr="00E578BC">
            <w:rPr>
              <w:rFonts w:cs="Arial"/>
              <w:b/>
              <w:sz w:val="16"/>
              <w:szCs w:val="14"/>
            </w:rPr>
            <w:t xml:space="preserve">Público </w:t>
          </w:r>
          <w:r w:rsidR="00770DE7">
            <w:rPr>
              <w:rFonts w:cs="Arial"/>
              <w:b/>
              <w:sz w:val="16"/>
              <w:szCs w:val="14"/>
            </w:rPr>
            <w:t>A</w:t>
          </w:r>
          <w:r w:rsidRPr="00E578BC">
            <w:rPr>
              <w:rFonts w:cs="Arial"/>
              <w:b/>
              <w:sz w:val="16"/>
              <w:szCs w:val="14"/>
            </w:rPr>
            <w:t>lvo</w:t>
          </w:r>
          <w:proofErr w:type="gramEnd"/>
          <w:r w:rsidRPr="00E578BC">
            <w:rPr>
              <w:rFonts w:cs="Arial"/>
              <w:b/>
              <w:sz w:val="16"/>
              <w:szCs w:val="14"/>
            </w:rPr>
            <w:t>:</w:t>
          </w:r>
        </w:p>
        <w:p w14:paraId="579BC068" w14:textId="77777777" w:rsidR="00E578BC" w:rsidRPr="00E578BC" w:rsidRDefault="008F3622" w:rsidP="00A21E63">
          <w:pPr>
            <w:spacing w:line="360" w:lineRule="auto"/>
            <w:jc w:val="center"/>
            <w:rPr>
              <w:rFonts w:cs="Arial"/>
              <w:sz w:val="16"/>
              <w:szCs w:val="14"/>
            </w:rPr>
          </w:pPr>
          <w:r w:rsidRPr="008F3622">
            <w:rPr>
              <w:rFonts w:cs="Arial"/>
              <w:b/>
              <w:sz w:val="16"/>
              <w:szCs w:val="14"/>
            </w:rPr>
            <w:t>Sindicatos</w:t>
          </w:r>
          <w:r>
            <w:rPr>
              <w:rFonts w:cs="Arial"/>
              <w:sz w:val="16"/>
              <w:szCs w:val="14"/>
            </w:rPr>
            <w:t xml:space="preserve"> </w:t>
          </w:r>
          <w:proofErr w:type="gramStart"/>
          <w:r>
            <w:rPr>
              <w:rFonts w:cs="Arial"/>
              <w:sz w:val="16"/>
              <w:szCs w:val="14"/>
            </w:rPr>
            <w:t>(</w:t>
          </w:r>
          <w:r w:rsidR="00E578BC" w:rsidRPr="00E578BC">
            <w:rPr>
              <w:rFonts w:cs="Arial"/>
              <w:sz w:val="16"/>
              <w:szCs w:val="14"/>
            </w:rPr>
            <w:t xml:space="preserve"> </w:t>
          </w:r>
          <w:r w:rsidR="00A21E63">
            <w:rPr>
              <w:rFonts w:cs="Arial"/>
              <w:sz w:val="16"/>
              <w:szCs w:val="14"/>
            </w:rPr>
            <w:t xml:space="preserve"> </w:t>
          </w:r>
          <w:r w:rsidR="00770DE7">
            <w:rPr>
              <w:rFonts w:cs="Arial"/>
              <w:sz w:val="16"/>
              <w:szCs w:val="14"/>
            </w:rPr>
            <w:t>)</w:t>
          </w:r>
          <w:proofErr w:type="gramEnd"/>
          <w:r>
            <w:rPr>
              <w:rFonts w:cs="Arial"/>
              <w:sz w:val="16"/>
              <w:szCs w:val="14"/>
            </w:rPr>
            <w:t xml:space="preserve"> </w:t>
          </w:r>
          <w:r w:rsidR="00770DE7" w:rsidRPr="00770DE7">
            <w:rPr>
              <w:rFonts w:cs="Arial"/>
              <w:b/>
              <w:sz w:val="16"/>
              <w:szCs w:val="14"/>
            </w:rPr>
            <w:t>/</w:t>
          </w:r>
          <w:r w:rsidR="00770DE7">
            <w:rPr>
              <w:rFonts w:cs="Arial"/>
              <w:sz w:val="16"/>
              <w:szCs w:val="14"/>
            </w:rPr>
            <w:t xml:space="preserve"> </w:t>
          </w:r>
          <w:r w:rsidR="00E578BC" w:rsidRPr="008F3622">
            <w:rPr>
              <w:rFonts w:cs="Arial"/>
              <w:b/>
              <w:sz w:val="16"/>
              <w:szCs w:val="14"/>
            </w:rPr>
            <w:t>François</w:t>
          </w:r>
          <w:r w:rsidR="00770DE7">
            <w:rPr>
              <w:rFonts w:cs="Arial"/>
              <w:b/>
              <w:sz w:val="16"/>
              <w:szCs w:val="14"/>
            </w:rPr>
            <w:t>:</w:t>
          </w:r>
          <w:r w:rsidR="00770DE7">
            <w:rPr>
              <w:rFonts w:cs="Arial"/>
              <w:sz w:val="16"/>
              <w:szCs w:val="14"/>
            </w:rPr>
            <w:t xml:space="preserve"> Grande E</w:t>
          </w:r>
          <w:r w:rsidR="00E578BC" w:rsidRPr="00E578BC">
            <w:rPr>
              <w:rFonts w:cs="Arial"/>
              <w:sz w:val="16"/>
              <w:szCs w:val="14"/>
            </w:rPr>
            <w:t xml:space="preserve">mpresa </w:t>
          </w:r>
          <w:proofErr w:type="gramStart"/>
          <w:r w:rsidR="00E578BC" w:rsidRPr="00E578BC">
            <w:rPr>
              <w:rFonts w:cs="Arial"/>
              <w:sz w:val="16"/>
              <w:szCs w:val="14"/>
            </w:rPr>
            <w:t>(  )</w:t>
          </w:r>
          <w:proofErr w:type="gramEnd"/>
          <w:r w:rsidR="00770DE7">
            <w:rPr>
              <w:rFonts w:cs="Arial"/>
              <w:sz w:val="16"/>
              <w:szCs w:val="14"/>
            </w:rPr>
            <w:t xml:space="preserve"> </w:t>
          </w:r>
          <w:r w:rsidR="00770DE7" w:rsidRPr="00770DE7">
            <w:rPr>
              <w:rFonts w:cs="Arial"/>
              <w:b/>
              <w:sz w:val="16"/>
              <w:szCs w:val="14"/>
            </w:rPr>
            <w:t>/</w:t>
          </w:r>
          <w:r w:rsidR="00770DE7">
            <w:rPr>
              <w:rFonts w:cs="Arial"/>
              <w:sz w:val="16"/>
              <w:szCs w:val="14"/>
            </w:rPr>
            <w:t xml:space="preserve"> </w:t>
          </w:r>
          <w:r w:rsidR="00E578BC" w:rsidRPr="008F3622">
            <w:rPr>
              <w:rFonts w:cs="Arial"/>
              <w:b/>
              <w:sz w:val="16"/>
              <w:szCs w:val="14"/>
            </w:rPr>
            <w:t>Claudius</w:t>
          </w:r>
          <w:r w:rsidR="00770DE7">
            <w:rPr>
              <w:rFonts w:cs="Arial"/>
              <w:b/>
              <w:sz w:val="16"/>
              <w:szCs w:val="14"/>
            </w:rPr>
            <w:t>:</w:t>
          </w:r>
          <w:r w:rsidR="00770DE7">
            <w:rPr>
              <w:rFonts w:cs="Arial"/>
              <w:sz w:val="16"/>
              <w:szCs w:val="14"/>
            </w:rPr>
            <w:t xml:space="preserve"> Média E</w:t>
          </w:r>
          <w:r w:rsidR="00E578BC" w:rsidRPr="00E578BC">
            <w:rPr>
              <w:rFonts w:cs="Arial"/>
              <w:sz w:val="16"/>
              <w:szCs w:val="14"/>
            </w:rPr>
            <w:t xml:space="preserve">mpresa </w:t>
          </w:r>
          <w:proofErr w:type="gramStart"/>
          <w:r w:rsidR="00E578BC" w:rsidRPr="00E578BC">
            <w:rPr>
              <w:rFonts w:cs="Arial"/>
              <w:sz w:val="16"/>
              <w:szCs w:val="14"/>
            </w:rPr>
            <w:t>(  )</w:t>
          </w:r>
          <w:proofErr w:type="gramEnd"/>
          <w:r>
            <w:rPr>
              <w:rFonts w:cs="Arial"/>
              <w:sz w:val="16"/>
              <w:szCs w:val="14"/>
            </w:rPr>
            <w:t xml:space="preserve"> </w:t>
          </w:r>
          <w:r w:rsidR="00770DE7" w:rsidRPr="00770DE7">
            <w:rPr>
              <w:rFonts w:cs="Arial"/>
              <w:b/>
              <w:sz w:val="16"/>
              <w:szCs w:val="14"/>
            </w:rPr>
            <w:t>/</w:t>
          </w:r>
          <w:r w:rsidR="00E578BC" w:rsidRPr="00E578BC">
            <w:rPr>
              <w:rFonts w:cs="Arial"/>
              <w:sz w:val="16"/>
              <w:szCs w:val="14"/>
            </w:rPr>
            <w:t xml:space="preserve"> </w:t>
          </w:r>
          <w:r w:rsidR="00E578BC" w:rsidRPr="008F3622">
            <w:rPr>
              <w:rFonts w:cs="Arial"/>
              <w:b/>
              <w:sz w:val="16"/>
              <w:szCs w:val="14"/>
            </w:rPr>
            <w:t>José</w:t>
          </w:r>
          <w:r w:rsidR="00A21E63">
            <w:rPr>
              <w:rFonts w:cs="Arial"/>
              <w:b/>
              <w:sz w:val="16"/>
              <w:szCs w:val="14"/>
            </w:rPr>
            <w:t>:</w:t>
          </w:r>
          <w:r w:rsidR="00E578BC" w:rsidRPr="008F3622">
            <w:rPr>
              <w:rFonts w:cs="Arial"/>
              <w:b/>
              <w:sz w:val="16"/>
              <w:szCs w:val="14"/>
            </w:rPr>
            <w:t xml:space="preserve"> </w:t>
          </w:r>
          <w:r w:rsidR="00E578BC" w:rsidRPr="00E578BC">
            <w:rPr>
              <w:rFonts w:cs="Arial"/>
              <w:sz w:val="16"/>
              <w:szCs w:val="14"/>
            </w:rPr>
            <w:t xml:space="preserve">MPE </w:t>
          </w:r>
          <w:proofErr w:type="gramStart"/>
          <w:r w:rsidR="00E578BC" w:rsidRPr="00E578BC">
            <w:rPr>
              <w:rFonts w:cs="Arial"/>
              <w:sz w:val="16"/>
              <w:szCs w:val="14"/>
            </w:rPr>
            <w:t>(  )</w:t>
          </w:r>
          <w:proofErr w:type="gramEnd"/>
          <w:r w:rsidR="00770DE7">
            <w:rPr>
              <w:rFonts w:cs="Arial"/>
              <w:sz w:val="16"/>
              <w:szCs w:val="14"/>
            </w:rPr>
            <w:t xml:space="preserve"> </w:t>
          </w:r>
          <w:r w:rsidR="00770DE7" w:rsidRPr="00770DE7">
            <w:rPr>
              <w:rFonts w:cs="Arial"/>
              <w:b/>
              <w:sz w:val="16"/>
              <w:szCs w:val="14"/>
            </w:rPr>
            <w:t>/</w:t>
          </w:r>
          <w:r w:rsidR="00770DE7">
            <w:rPr>
              <w:rFonts w:cs="Arial"/>
              <w:sz w:val="16"/>
              <w:szCs w:val="14"/>
            </w:rPr>
            <w:t xml:space="preserve"> </w:t>
          </w:r>
          <w:r w:rsidR="00770DE7" w:rsidRPr="008F3622">
            <w:rPr>
              <w:rFonts w:cs="Arial"/>
              <w:b/>
              <w:sz w:val="16"/>
              <w:szCs w:val="14"/>
            </w:rPr>
            <w:t>Andreia</w:t>
          </w:r>
          <w:r w:rsidR="00A21E63">
            <w:rPr>
              <w:rFonts w:cs="Arial"/>
              <w:b/>
              <w:sz w:val="16"/>
              <w:szCs w:val="14"/>
            </w:rPr>
            <w:t>:</w:t>
          </w:r>
          <w:r w:rsidR="00770DE7" w:rsidRPr="00E578BC">
            <w:rPr>
              <w:rFonts w:cs="Arial"/>
              <w:sz w:val="16"/>
              <w:szCs w:val="14"/>
            </w:rPr>
            <w:t xml:space="preserve"> ME</w:t>
          </w:r>
          <w:r w:rsidR="00770DE7">
            <w:rPr>
              <w:rFonts w:cs="Arial"/>
              <w:sz w:val="16"/>
              <w:szCs w:val="14"/>
            </w:rPr>
            <w:t>I</w:t>
          </w:r>
          <w:r w:rsidR="00770DE7" w:rsidRPr="00E578BC">
            <w:rPr>
              <w:rFonts w:cs="Arial"/>
              <w:sz w:val="16"/>
              <w:szCs w:val="14"/>
            </w:rPr>
            <w:t xml:space="preserve"> </w:t>
          </w:r>
          <w:proofErr w:type="gramStart"/>
          <w:r w:rsidR="00770DE7" w:rsidRPr="00E578BC">
            <w:rPr>
              <w:rFonts w:cs="Arial"/>
              <w:sz w:val="16"/>
              <w:szCs w:val="14"/>
            </w:rPr>
            <w:t>(  )</w:t>
          </w:r>
          <w:proofErr w:type="gramEnd"/>
          <w:r w:rsidR="00770DE7" w:rsidRPr="00E578BC">
            <w:rPr>
              <w:rFonts w:cs="Arial"/>
              <w:sz w:val="16"/>
              <w:szCs w:val="14"/>
            </w:rPr>
            <w:t xml:space="preserve"> </w:t>
          </w:r>
          <w:r w:rsidR="00770DE7" w:rsidRPr="00770DE7">
            <w:rPr>
              <w:rFonts w:cs="Arial"/>
              <w:b/>
              <w:sz w:val="16"/>
              <w:szCs w:val="14"/>
            </w:rPr>
            <w:t>/</w:t>
          </w:r>
          <w:r w:rsidR="00770DE7">
            <w:rPr>
              <w:rFonts w:cs="Arial"/>
              <w:sz w:val="16"/>
              <w:szCs w:val="14"/>
            </w:rPr>
            <w:t xml:space="preserve"> </w:t>
          </w:r>
          <w:r w:rsidR="00770DE7" w:rsidRPr="008F3622">
            <w:rPr>
              <w:rFonts w:cs="Arial"/>
              <w:b/>
              <w:sz w:val="16"/>
              <w:szCs w:val="14"/>
            </w:rPr>
            <w:t>Paulo</w:t>
          </w:r>
          <w:r w:rsidR="00A21E63">
            <w:rPr>
              <w:rFonts w:cs="Arial"/>
              <w:b/>
              <w:sz w:val="16"/>
              <w:szCs w:val="14"/>
            </w:rPr>
            <w:t xml:space="preserve">: </w:t>
          </w:r>
          <w:r w:rsidR="00770DE7">
            <w:rPr>
              <w:rFonts w:cs="Arial"/>
              <w:sz w:val="16"/>
              <w:szCs w:val="14"/>
            </w:rPr>
            <w:t xml:space="preserve">Contador </w:t>
          </w:r>
          <w:proofErr w:type="gramStart"/>
          <w:r w:rsidR="00770DE7">
            <w:rPr>
              <w:rFonts w:cs="Arial"/>
              <w:sz w:val="16"/>
              <w:szCs w:val="14"/>
            </w:rPr>
            <w:t>(  )</w:t>
          </w:r>
          <w:proofErr w:type="gramEnd"/>
          <w:r w:rsidR="00770DE7">
            <w:rPr>
              <w:rFonts w:cs="Arial"/>
              <w:sz w:val="16"/>
              <w:szCs w:val="14"/>
            </w:rPr>
            <w:t xml:space="preserve"> </w:t>
          </w:r>
          <w:r w:rsidR="00770DE7" w:rsidRPr="00770DE7">
            <w:rPr>
              <w:rFonts w:cs="Arial"/>
              <w:b/>
              <w:sz w:val="16"/>
              <w:szCs w:val="14"/>
            </w:rPr>
            <w:t>/</w:t>
          </w:r>
          <w:r w:rsidR="00770DE7">
            <w:rPr>
              <w:rFonts w:cs="Arial"/>
              <w:sz w:val="16"/>
              <w:szCs w:val="14"/>
            </w:rPr>
            <w:t xml:space="preserve"> </w:t>
          </w:r>
          <w:r w:rsidR="00E578BC" w:rsidRPr="008F3622">
            <w:rPr>
              <w:rFonts w:cs="Arial"/>
              <w:b/>
              <w:sz w:val="16"/>
              <w:szCs w:val="14"/>
            </w:rPr>
            <w:t>Marcus</w:t>
          </w:r>
          <w:r w:rsidR="00A21E63">
            <w:rPr>
              <w:rFonts w:cs="Arial"/>
              <w:sz w:val="16"/>
              <w:szCs w:val="14"/>
            </w:rPr>
            <w:t xml:space="preserve">: </w:t>
          </w:r>
          <w:r w:rsidR="00E578BC" w:rsidRPr="00E578BC">
            <w:rPr>
              <w:rFonts w:cs="Arial"/>
              <w:sz w:val="16"/>
              <w:szCs w:val="14"/>
            </w:rPr>
            <w:t xml:space="preserve">Startups </w:t>
          </w:r>
          <w:proofErr w:type="gramStart"/>
          <w:r w:rsidR="00E578BC" w:rsidRPr="00E578BC">
            <w:rPr>
              <w:rFonts w:cs="Arial"/>
              <w:sz w:val="16"/>
              <w:szCs w:val="14"/>
            </w:rPr>
            <w:t>(  )</w:t>
          </w:r>
          <w:proofErr w:type="gramEnd"/>
        </w:p>
      </w:tc>
    </w:tr>
    <w:tr w:rsidR="005B64EB" w:rsidRPr="009E2832" w14:paraId="2B99A9C2" w14:textId="77777777" w:rsidTr="00E578BC">
      <w:trPr>
        <w:cantSplit/>
        <w:trHeight w:val="315"/>
        <w:jc w:val="center"/>
      </w:trPr>
      <w:tc>
        <w:tcPr>
          <w:tcW w:w="10915" w:type="dxa"/>
          <w:gridSpan w:val="4"/>
          <w:tcBorders>
            <w:top w:val="single" w:sz="4" w:space="0" w:color="auto"/>
            <w:bottom w:val="single" w:sz="4" w:space="0" w:color="auto"/>
          </w:tcBorders>
          <w:vAlign w:val="center"/>
        </w:tcPr>
        <w:p w14:paraId="36105500" w14:textId="77777777" w:rsidR="005B64EB" w:rsidRPr="009E2832" w:rsidRDefault="005B64EB" w:rsidP="008B7EE0">
          <w:pPr>
            <w:ind w:left="34"/>
            <w:jc w:val="center"/>
            <w:rPr>
              <w:rFonts w:cs="Arial"/>
              <w:b/>
              <w:sz w:val="22"/>
            </w:rPr>
          </w:pPr>
          <w:r w:rsidRPr="009E2832">
            <w:rPr>
              <w:rFonts w:cs="Arial"/>
              <w:sz w:val="14"/>
              <w:szCs w:val="14"/>
            </w:rPr>
            <w:t xml:space="preserve">Este documento faz parte do Sistema de Gestão da Qualidade </w:t>
          </w:r>
          <w:r w:rsidRPr="00216FF9">
            <w:rPr>
              <w:rFonts w:cs="Arial"/>
              <w:sz w:val="14"/>
              <w:szCs w:val="14"/>
            </w:rPr>
            <w:t xml:space="preserve">da </w:t>
          </w:r>
          <w:r>
            <w:rPr>
              <w:rFonts w:cs="Arial"/>
              <w:sz w:val="14"/>
              <w:szCs w:val="14"/>
            </w:rPr>
            <w:t>Fecomercio SP</w:t>
          </w:r>
        </w:p>
      </w:tc>
    </w:tr>
  </w:tbl>
  <w:p w14:paraId="41123944" w14:textId="77777777" w:rsidR="005B64EB" w:rsidRDefault="005B64EB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0A434C" w14:textId="77777777" w:rsidR="00164ED3" w:rsidRDefault="00164ED3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1F68D3"/>
    <w:multiLevelType w:val="hybridMultilevel"/>
    <w:tmpl w:val="BE08F30C"/>
    <w:lvl w:ilvl="0" w:tplc="04160013">
      <w:start w:val="1"/>
      <w:numFmt w:val="upperRoman"/>
      <w:lvlText w:val="%1."/>
      <w:lvlJc w:val="right"/>
      <w:pPr>
        <w:ind w:left="360" w:hanging="360"/>
      </w:p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51D2808"/>
    <w:multiLevelType w:val="hybridMultilevel"/>
    <w:tmpl w:val="F4784010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C423B07"/>
    <w:multiLevelType w:val="hybridMultilevel"/>
    <w:tmpl w:val="5B9E108A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0290717">
    <w:abstractNumId w:val="0"/>
  </w:num>
  <w:num w:numId="2" w16cid:durableId="1560750255">
    <w:abstractNumId w:val="1"/>
  </w:num>
  <w:num w:numId="3" w16cid:durableId="110638368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B64EB"/>
    <w:rsid w:val="00024678"/>
    <w:rsid w:val="00033BC9"/>
    <w:rsid w:val="00034169"/>
    <w:rsid w:val="000518C3"/>
    <w:rsid w:val="0007231C"/>
    <w:rsid w:val="000A7D49"/>
    <w:rsid w:val="00101863"/>
    <w:rsid w:val="00164ED3"/>
    <w:rsid w:val="001767DE"/>
    <w:rsid w:val="00197EEE"/>
    <w:rsid w:val="001B7FA6"/>
    <w:rsid w:val="00212DC2"/>
    <w:rsid w:val="00220FE9"/>
    <w:rsid w:val="00232092"/>
    <w:rsid w:val="00247667"/>
    <w:rsid w:val="0025495C"/>
    <w:rsid w:val="00277665"/>
    <w:rsid w:val="002876BC"/>
    <w:rsid w:val="002E1E6E"/>
    <w:rsid w:val="002F7BA3"/>
    <w:rsid w:val="00330F52"/>
    <w:rsid w:val="003377F7"/>
    <w:rsid w:val="00340A43"/>
    <w:rsid w:val="00373083"/>
    <w:rsid w:val="0037757A"/>
    <w:rsid w:val="003F35A6"/>
    <w:rsid w:val="00404A7E"/>
    <w:rsid w:val="0041583B"/>
    <w:rsid w:val="004612E9"/>
    <w:rsid w:val="0046324B"/>
    <w:rsid w:val="004779BF"/>
    <w:rsid w:val="004D2FCF"/>
    <w:rsid w:val="004D471D"/>
    <w:rsid w:val="00503834"/>
    <w:rsid w:val="005806AE"/>
    <w:rsid w:val="005B64EB"/>
    <w:rsid w:val="00614CB5"/>
    <w:rsid w:val="00626233"/>
    <w:rsid w:val="00646A75"/>
    <w:rsid w:val="00681D97"/>
    <w:rsid w:val="00690830"/>
    <w:rsid w:val="006C2BEC"/>
    <w:rsid w:val="006D6A84"/>
    <w:rsid w:val="006E2A20"/>
    <w:rsid w:val="006E50DE"/>
    <w:rsid w:val="006E6834"/>
    <w:rsid w:val="006F5BFA"/>
    <w:rsid w:val="00713C1D"/>
    <w:rsid w:val="0073545D"/>
    <w:rsid w:val="0073609A"/>
    <w:rsid w:val="00746227"/>
    <w:rsid w:val="007628A5"/>
    <w:rsid w:val="007702A4"/>
    <w:rsid w:val="00770DE7"/>
    <w:rsid w:val="00791E4E"/>
    <w:rsid w:val="007D38E6"/>
    <w:rsid w:val="00811884"/>
    <w:rsid w:val="008B054A"/>
    <w:rsid w:val="008E1C8B"/>
    <w:rsid w:val="008F2746"/>
    <w:rsid w:val="008F2810"/>
    <w:rsid w:val="008F3622"/>
    <w:rsid w:val="008F4D77"/>
    <w:rsid w:val="008F770D"/>
    <w:rsid w:val="00925B02"/>
    <w:rsid w:val="00971B48"/>
    <w:rsid w:val="009C6145"/>
    <w:rsid w:val="009C7B56"/>
    <w:rsid w:val="009D74EF"/>
    <w:rsid w:val="00A21E63"/>
    <w:rsid w:val="00A264ED"/>
    <w:rsid w:val="00A87407"/>
    <w:rsid w:val="00B256CC"/>
    <w:rsid w:val="00B27C6B"/>
    <w:rsid w:val="00B3562C"/>
    <w:rsid w:val="00B4439F"/>
    <w:rsid w:val="00B44E1D"/>
    <w:rsid w:val="00B57EBB"/>
    <w:rsid w:val="00B96CDD"/>
    <w:rsid w:val="00BD0A32"/>
    <w:rsid w:val="00BE4B98"/>
    <w:rsid w:val="00C15397"/>
    <w:rsid w:val="00C3243B"/>
    <w:rsid w:val="00C32459"/>
    <w:rsid w:val="00C6453B"/>
    <w:rsid w:val="00C7051A"/>
    <w:rsid w:val="00CB68F4"/>
    <w:rsid w:val="00CE2896"/>
    <w:rsid w:val="00CF2D69"/>
    <w:rsid w:val="00D1162A"/>
    <w:rsid w:val="00D25F88"/>
    <w:rsid w:val="00D36325"/>
    <w:rsid w:val="00D55856"/>
    <w:rsid w:val="00D5669D"/>
    <w:rsid w:val="00D62107"/>
    <w:rsid w:val="00D9127E"/>
    <w:rsid w:val="00DA2E33"/>
    <w:rsid w:val="00DD166C"/>
    <w:rsid w:val="00DE0149"/>
    <w:rsid w:val="00DF79DE"/>
    <w:rsid w:val="00E14A9F"/>
    <w:rsid w:val="00E578BC"/>
    <w:rsid w:val="00EA0E2A"/>
    <w:rsid w:val="00EA524F"/>
    <w:rsid w:val="00EB6413"/>
    <w:rsid w:val="00EC1355"/>
    <w:rsid w:val="00ED3CD9"/>
    <w:rsid w:val="00EF0475"/>
    <w:rsid w:val="00F238B8"/>
    <w:rsid w:val="00F90CBB"/>
    <w:rsid w:val="00F9305C"/>
    <w:rsid w:val="00FA3C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80EE5CF"/>
  <w15:docId w15:val="{978D2CAF-BFF7-4DEC-9AE8-AD008DBDB7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6324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tulo2">
    <w:name w:val="heading 2"/>
    <w:basedOn w:val="Normal"/>
    <w:link w:val="Ttulo2Char"/>
    <w:uiPriority w:val="9"/>
    <w:qFormat/>
    <w:rsid w:val="00D25F88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5B64EB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5B64EB"/>
  </w:style>
  <w:style w:type="paragraph" w:styleId="Rodap">
    <w:name w:val="footer"/>
    <w:basedOn w:val="Normal"/>
    <w:link w:val="RodapChar"/>
    <w:uiPriority w:val="99"/>
    <w:unhideWhenUsed/>
    <w:rsid w:val="005B64EB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5B64EB"/>
  </w:style>
  <w:style w:type="paragraph" w:styleId="Textodebalo">
    <w:name w:val="Balloon Text"/>
    <w:basedOn w:val="Normal"/>
    <w:link w:val="TextodebaloChar"/>
    <w:uiPriority w:val="99"/>
    <w:semiHidden/>
    <w:unhideWhenUsed/>
    <w:rsid w:val="005B64EB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B64EB"/>
    <w:rPr>
      <w:rFonts w:ascii="Tahoma" w:hAnsi="Tahoma" w:cs="Tahoma"/>
      <w:sz w:val="16"/>
      <w:szCs w:val="16"/>
    </w:rPr>
  </w:style>
  <w:style w:type="character" w:styleId="Nmerodepgina">
    <w:name w:val="page number"/>
    <w:basedOn w:val="Fontepargpadro"/>
    <w:rsid w:val="0046324B"/>
  </w:style>
  <w:style w:type="character" w:customStyle="1" w:styleId="apple-converted-space">
    <w:name w:val="apple-converted-space"/>
    <w:basedOn w:val="Fontepargpadro"/>
    <w:rsid w:val="009D74EF"/>
  </w:style>
  <w:style w:type="paragraph" w:styleId="NormalWeb">
    <w:name w:val="Normal (Web)"/>
    <w:basedOn w:val="Normal"/>
    <w:uiPriority w:val="99"/>
    <w:unhideWhenUsed/>
    <w:rsid w:val="009D74EF"/>
    <w:pPr>
      <w:spacing w:before="100" w:beforeAutospacing="1" w:after="100" w:afterAutospacing="1"/>
    </w:pPr>
    <w:rPr>
      <w:sz w:val="24"/>
      <w:szCs w:val="24"/>
    </w:rPr>
  </w:style>
  <w:style w:type="character" w:styleId="Hyperlink">
    <w:name w:val="Hyperlink"/>
    <w:basedOn w:val="Fontepargpadro"/>
    <w:uiPriority w:val="99"/>
    <w:unhideWhenUsed/>
    <w:rsid w:val="009D74EF"/>
    <w:rPr>
      <w:color w:val="0000FF"/>
      <w:u w:val="single"/>
    </w:rPr>
  </w:style>
  <w:style w:type="character" w:styleId="Forte">
    <w:name w:val="Strong"/>
    <w:basedOn w:val="Fontepargpadro"/>
    <w:uiPriority w:val="22"/>
    <w:qFormat/>
    <w:rsid w:val="009D74EF"/>
    <w:rPr>
      <w:b/>
      <w:bCs/>
    </w:rPr>
  </w:style>
  <w:style w:type="paragraph" w:styleId="PargrafodaLista">
    <w:name w:val="List Paragraph"/>
    <w:basedOn w:val="Normal"/>
    <w:uiPriority w:val="34"/>
    <w:qFormat/>
    <w:rsid w:val="007D38E6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</w:rPr>
  </w:style>
  <w:style w:type="character" w:customStyle="1" w:styleId="Ttulo2Char">
    <w:name w:val="Título 2 Char"/>
    <w:basedOn w:val="Fontepargpadro"/>
    <w:link w:val="Ttulo2"/>
    <w:uiPriority w:val="9"/>
    <w:rsid w:val="00D25F88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styleId="nfase">
    <w:name w:val="Emphasis"/>
    <w:basedOn w:val="Fontepargpadro"/>
    <w:uiPriority w:val="20"/>
    <w:qFormat/>
    <w:rsid w:val="00D25F88"/>
    <w:rPr>
      <w:i/>
      <w:iCs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DA2E33"/>
    <w:rPr>
      <w:color w:val="605E5C"/>
      <w:shd w:val="clear" w:color="auto" w:fill="E1DFDD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DA2E33"/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DA2E33"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styleId="Refdenotaderodap">
    <w:name w:val="footnote reference"/>
    <w:basedOn w:val="Fontepargpadro"/>
    <w:uiPriority w:val="99"/>
    <w:semiHidden/>
    <w:unhideWhenUsed/>
    <w:rsid w:val="00DA2E33"/>
    <w:rPr>
      <w:vertAlign w:val="superscript"/>
    </w:rPr>
  </w:style>
  <w:style w:type="paragraph" w:customStyle="1" w:styleId="has-text-align-justify">
    <w:name w:val="has-text-align-justify"/>
    <w:basedOn w:val="Normal"/>
    <w:rsid w:val="00B4439F"/>
    <w:pPr>
      <w:spacing w:before="100" w:beforeAutospacing="1" w:after="100" w:afterAutospacing="1"/>
    </w:pPr>
    <w:rPr>
      <w:sz w:val="24"/>
      <w:szCs w:val="24"/>
    </w:rPr>
  </w:style>
  <w:style w:type="paragraph" w:styleId="Ttulo">
    <w:name w:val="Title"/>
    <w:basedOn w:val="Normal"/>
    <w:next w:val="Normal"/>
    <w:link w:val="TtuloChar"/>
    <w:uiPriority w:val="10"/>
    <w:qFormat/>
    <w:rsid w:val="006E683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tuloChar">
    <w:name w:val="Título Char"/>
    <w:basedOn w:val="Fontepargpadro"/>
    <w:link w:val="Ttulo"/>
    <w:uiPriority w:val="10"/>
    <w:rsid w:val="006E6834"/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paragraph" w:styleId="Subttulo">
    <w:name w:val="Subtitle"/>
    <w:basedOn w:val="Normal"/>
    <w:next w:val="Normal"/>
    <w:link w:val="SubttuloChar"/>
    <w:uiPriority w:val="11"/>
    <w:qFormat/>
    <w:rsid w:val="00681D97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tuloChar">
    <w:name w:val="Subtítulo Char"/>
    <w:basedOn w:val="Fontepargpadro"/>
    <w:link w:val="Subttulo"/>
    <w:uiPriority w:val="11"/>
    <w:rsid w:val="00681D97"/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table" w:styleId="Tabelacomgrade">
    <w:name w:val="Table Grid"/>
    <w:basedOn w:val="Tabelanormal"/>
    <w:uiPriority w:val="39"/>
    <w:rsid w:val="00681D97"/>
    <w:pPr>
      <w:spacing w:after="0" w:line="240" w:lineRule="auto"/>
    </w:pPr>
    <w:rPr>
      <w:kern w:val="2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958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654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portal.stf.jus.br/processos/detalhe.asp?incidente=5870161" TargetMode="External"/><Relationship Id="rId18" Type="http://schemas.openxmlformats.org/officeDocument/2006/relationships/hyperlink" Target="https://www.planalto.gov.br/ccivil_03/LEIS/2002/L10421.htm" TargetMode="External"/><Relationship Id="rId26" Type="http://schemas.openxmlformats.org/officeDocument/2006/relationships/hyperlink" Target="https://www.planalto.gov.br/ccivil_03/LEIS/L9799.htm" TargetMode="External"/><Relationship Id="rId39" Type="http://schemas.openxmlformats.org/officeDocument/2006/relationships/hyperlink" Target="https://www.planalto.gov.br/ccivil_03/_Ato2019-2022/2020/Lei/L13985.htm" TargetMode="External"/><Relationship Id="rId21" Type="http://schemas.openxmlformats.org/officeDocument/2006/relationships/hyperlink" Target="https://www.planalto.gov.br/ccivil_03/LEIS/2002/L10421.htm" TargetMode="External"/><Relationship Id="rId34" Type="http://schemas.openxmlformats.org/officeDocument/2006/relationships/hyperlink" Target="https://www.planalto.gov.br/ccivil_03/_Ato2023-2026/2025/Lei/L15222.htm" TargetMode="External"/><Relationship Id="rId42" Type="http://schemas.openxmlformats.org/officeDocument/2006/relationships/hyperlink" Target="https://www.planalto.gov.br/ccivil_03/leis/L9528.htm" TargetMode="External"/><Relationship Id="rId47" Type="http://schemas.openxmlformats.org/officeDocument/2006/relationships/header" Target="header2.xml"/><Relationship Id="rId50" Type="http://schemas.openxmlformats.org/officeDocument/2006/relationships/header" Target="header3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hyperlink" Target="https://www.planalto.gov.br/ccivil_03/LEIS/2002/L10421.htm" TargetMode="External"/><Relationship Id="rId29" Type="http://schemas.openxmlformats.org/officeDocument/2006/relationships/hyperlink" Target="https://www.planalto.gov.br/ccivil_03/LEIS/2002/L10421.htm" TargetMode="External"/><Relationship Id="rId11" Type="http://schemas.openxmlformats.org/officeDocument/2006/relationships/hyperlink" Target="https://www.planalto.gov.br/ccivil_03/_Ato2019-2022/2020/Lei/L13985.htm" TargetMode="External"/><Relationship Id="rId24" Type="http://schemas.openxmlformats.org/officeDocument/2006/relationships/hyperlink" Target="https://www.planalto.gov.br/ccivil_03/LEIS/L9799.htm" TargetMode="External"/><Relationship Id="rId32" Type="http://schemas.openxmlformats.org/officeDocument/2006/relationships/hyperlink" Target="https://www.planalto.gov.br/ccivil_03/_Ato2023-2026/2025/Lei/L15156.htm" TargetMode="External"/><Relationship Id="rId37" Type="http://schemas.openxmlformats.org/officeDocument/2006/relationships/hyperlink" Target="https://portal.stf.jus.br/processos/detalhe.asp?incidente=5870161" TargetMode="External"/><Relationship Id="rId40" Type="http://schemas.openxmlformats.org/officeDocument/2006/relationships/hyperlink" Target="https://portal.stf.jus.br/processos/detalhe.asp?incidente=5870161" TargetMode="External"/><Relationship Id="rId45" Type="http://schemas.openxmlformats.org/officeDocument/2006/relationships/hyperlink" Target="https://www.planalto.gov.br/ccivil_03/_Ato2023-2026/2025/Lei/L15222.htm" TargetMode="External"/><Relationship Id="rId53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hyperlink" Target="https://www.planalto.gov.br/ccivil_03/LEIS/2002/L10421.htm" TargetMode="External"/><Relationship Id="rId19" Type="http://schemas.openxmlformats.org/officeDocument/2006/relationships/hyperlink" Target="https://portal.stf.jus.br/processos/detalhe.asp?incidente=5870161" TargetMode="External"/><Relationship Id="rId31" Type="http://schemas.openxmlformats.org/officeDocument/2006/relationships/hyperlink" Target="https://www.planalto.gov.br/ccivil_03/LEIS/2002/L10421.htm" TargetMode="External"/><Relationship Id="rId44" Type="http://schemas.openxmlformats.org/officeDocument/2006/relationships/hyperlink" Target="https://www.planalto.gov.br/ccivil_03/_Ato2023-2026/2025/Lei/L15156.htm" TargetMode="External"/><Relationship Id="rId52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www.planalto.gov.br/ccivil_03/_Ato2019-2022/2020/Lei/L13985.htm" TargetMode="External"/><Relationship Id="rId14" Type="http://schemas.openxmlformats.org/officeDocument/2006/relationships/hyperlink" Target="https://www.planalto.gov.br/ccivil_03/LEIS/2002/L10421.htm" TargetMode="External"/><Relationship Id="rId22" Type="http://schemas.openxmlformats.org/officeDocument/2006/relationships/hyperlink" Target="https://www.planalto.gov.br/ccivil_03/LEIS/L9799.htm" TargetMode="External"/><Relationship Id="rId27" Type="http://schemas.openxmlformats.org/officeDocument/2006/relationships/hyperlink" Target="https://www.planalto.gov.br/ccivil_03/LEIS/L9799.htm" TargetMode="External"/><Relationship Id="rId30" Type="http://schemas.openxmlformats.org/officeDocument/2006/relationships/hyperlink" Target="https://www.planalto.gov.br/ccivil_03/LEIS/Mensagem_Veto/2002/Vep264-L10421-02.pdf" TargetMode="External"/><Relationship Id="rId35" Type="http://schemas.openxmlformats.org/officeDocument/2006/relationships/hyperlink" Target="https://www.planalto.gov.br/ccivil_03/leis/2003/L10.710.htm" TargetMode="External"/><Relationship Id="rId43" Type="http://schemas.openxmlformats.org/officeDocument/2006/relationships/hyperlink" Target="https://www.planalto.gov.br/ccivil_03/_Ato2023-2026/2025/Lei/L15156.htm" TargetMode="External"/><Relationship Id="rId48" Type="http://schemas.openxmlformats.org/officeDocument/2006/relationships/footer" Target="footer1.xml"/><Relationship Id="rId8" Type="http://schemas.openxmlformats.org/officeDocument/2006/relationships/hyperlink" Target="https://www.planalto.gov.br/ccivil_03/LEIS/2002/L10421.htm" TargetMode="External"/><Relationship Id="rId51" Type="http://schemas.openxmlformats.org/officeDocument/2006/relationships/footer" Target="footer3.xml"/><Relationship Id="rId3" Type="http://schemas.openxmlformats.org/officeDocument/2006/relationships/styles" Target="styles.xml"/><Relationship Id="rId12" Type="http://schemas.openxmlformats.org/officeDocument/2006/relationships/hyperlink" Target="https://www.planalto.gov.br/ccivil_03/LEIS/2002/L10421.htm" TargetMode="External"/><Relationship Id="rId17" Type="http://schemas.openxmlformats.org/officeDocument/2006/relationships/hyperlink" Target="https://portal.stf.jus.br/processos/detalhe.asp?incidente=5870161" TargetMode="External"/><Relationship Id="rId25" Type="http://schemas.openxmlformats.org/officeDocument/2006/relationships/hyperlink" Target="https://www.planalto.gov.br/ccivil_03/LEIS/L9799.htm" TargetMode="External"/><Relationship Id="rId33" Type="http://schemas.openxmlformats.org/officeDocument/2006/relationships/hyperlink" Target="https://www.planalto.gov.br/ccivil_03/_Ato2023-2026/2025/Lei/L15156.htm" TargetMode="External"/><Relationship Id="rId38" Type="http://schemas.openxmlformats.org/officeDocument/2006/relationships/hyperlink" Target="https://www.planalto.gov.br/ccivil_03/leis/2003/L10.710.htm" TargetMode="External"/><Relationship Id="rId46" Type="http://schemas.openxmlformats.org/officeDocument/2006/relationships/header" Target="header1.xml"/><Relationship Id="rId20" Type="http://schemas.openxmlformats.org/officeDocument/2006/relationships/hyperlink" Target="https://www.planalto.gov.br/ccivil_03/LEIS/2002/L10421.htm" TargetMode="External"/><Relationship Id="rId41" Type="http://schemas.openxmlformats.org/officeDocument/2006/relationships/hyperlink" Target="https://www.planalto.gov.br/ccivil_03/leis/L8861.htm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hyperlink" Target="https://portal.stf.jus.br/processos/detalhe.asp?incidente=5870161" TargetMode="External"/><Relationship Id="rId23" Type="http://schemas.openxmlformats.org/officeDocument/2006/relationships/hyperlink" Target="https://www.planalto.gov.br/ccivil_03/LEIS/L9799.htm" TargetMode="External"/><Relationship Id="rId28" Type="http://schemas.openxmlformats.org/officeDocument/2006/relationships/hyperlink" Target="https://www.planalto.gov.br/ccivil_03/LEIS/Mensagem_Veto/2002/Vep264-L10421-02.pdf" TargetMode="External"/><Relationship Id="rId36" Type="http://schemas.openxmlformats.org/officeDocument/2006/relationships/hyperlink" Target="https://www.planalto.gov.br/ccivil_03/_Ato2019-2022/2020/Lei/L13985.htm" TargetMode="External"/><Relationship Id="rId4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85A397A-6813-4E22-985B-4B876787E4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1785</Words>
  <Characters>9645</Characters>
  <Application>Microsoft Office Word</Application>
  <DocSecurity>4</DocSecurity>
  <Lines>80</Lines>
  <Paragraphs>22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Marcelo Alvarez Correa</dc:creator>
  <cp:lastModifiedBy>GRUPO 10</cp:lastModifiedBy>
  <cp:revision>2</cp:revision>
  <dcterms:created xsi:type="dcterms:W3CDTF">2025-10-02T12:17:00Z</dcterms:created>
  <dcterms:modified xsi:type="dcterms:W3CDTF">2025-10-02T12:17:00Z</dcterms:modified>
</cp:coreProperties>
</file>